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1B954">
      <w:pPr>
        <w:spacing w:before="2040" w:after="140" w:line="360" w:lineRule="auto"/>
        <w:jc w:val="center"/>
        <w:outlineLvl w:val="0"/>
        <w:rPr>
          <w:rFonts w:hint="eastAsia" w:ascii="宋体" w:hAnsi="宋体" w:eastAsia="宋体"/>
          <w:sz w:val="32"/>
          <w:szCs w:val="32"/>
        </w:rPr>
      </w:pPr>
      <w:bookmarkStart w:id="0" w:name="heading_0"/>
      <w:r>
        <w:rPr>
          <w:rFonts w:ascii="宋体" w:hAnsi="宋体" w:eastAsia="宋体" w:cs="Arial"/>
          <w:b/>
          <w:sz w:val="32"/>
          <w:szCs w:val="32"/>
        </w:rPr>
        <w:t>中大餐饮、康乐园餐饮2026年端午粽采购项目遴选文件</w:t>
      </w:r>
      <w:bookmarkEnd w:id="0"/>
    </w:p>
    <w:p w14:paraId="2DBFBCBC">
      <w:pPr>
        <w:spacing w:before="120" w:after="120" w:line="360" w:lineRule="auto"/>
        <w:rPr>
          <w:rFonts w:hint="eastAsia" w:ascii="宋体" w:hAnsi="宋体" w:eastAsia="宋体" w:cs="Arial"/>
          <w:b/>
          <w:sz w:val="32"/>
          <w:szCs w:val="32"/>
        </w:rPr>
      </w:pPr>
    </w:p>
    <w:p w14:paraId="2FB83D62">
      <w:pPr>
        <w:spacing w:before="120" w:after="120" w:line="360" w:lineRule="auto"/>
        <w:rPr>
          <w:rFonts w:hint="eastAsia" w:ascii="宋体" w:hAnsi="宋体" w:eastAsia="宋体" w:cs="Arial"/>
          <w:b/>
          <w:sz w:val="32"/>
          <w:szCs w:val="32"/>
        </w:rPr>
      </w:pPr>
    </w:p>
    <w:p w14:paraId="4A179E36">
      <w:pPr>
        <w:spacing w:before="120" w:after="120" w:line="360" w:lineRule="auto"/>
        <w:rPr>
          <w:rFonts w:hint="eastAsia" w:ascii="宋体" w:hAnsi="宋体" w:eastAsia="宋体" w:cs="Arial"/>
          <w:b/>
          <w:sz w:val="32"/>
          <w:szCs w:val="32"/>
        </w:rPr>
      </w:pPr>
    </w:p>
    <w:p w14:paraId="071D4DA5">
      <w:pPr>
        <w:spacing w:before="120" w:after="120" w:line="360" w:lineRule="auto"/>
        <w:rPr>
          <w:rFonts w:hint="eastAsia" w:ascii="宋体" w:hAnsi="宋体" w:eastAsia="宋体" w:cs="Arial"/>
          <w:b/>
          <w:sz w:val="32"/>
          <w:szCs w:val="32"/>
        </w:rPr>
      </w:pPr>
    </w:p>
    <w:p w14:paraId="0A38661F">
      <w:pPr>
        <w:spacing w:before="120" w:after="120" w:line="360" w:lineRule="auto"/>
        <w:rPr>
          <w:rFonts w:hint="eastAsia" w:ascii="宋体" w:hAnsi="宋体" w:eastAsia="宋体" w:cs="Arial"/>
          <w:b/>
          <w:sz w:val="32"/>
          <w:szCs w:val="32"/>
        </w:rPr>
      </w:pPr>
    </w:p>
    <w:p w14:paraId="30B26910">
      <w:pPr>
        <w:spacing w:before="120" w:after="120" w:line="360" w:lineRule="auto"/>
        <w:rPr>
          <w:rFonts w:hint="eastAsia" w:ascii="宋体" w:hAnsi="宋体" w:eastAsia="宋体" w:cs="Arial"/>
          <w:b/>
          <w:sz w:val="32"/>
          <w:szCs w:val="32"/>
        </w:rPr>
      </w:pPr>
    </w:p>
    <w:p w14:paraId="47754E53">
      <w:pPr>
        <w:spacing w:before="120" w:after="120" w:line="360" w:lineRule="auto"/>
        <w:rPr>
          <w:rFonts w:hint="eastAsia" w:ascii="宋体" w:hAnsi="宋体" w:eastAsia="宋体" w:cs="Arial"/>
          <w:b/>
          <w:sz w:val="32"/>
          <w:szCs w:val="32"/>
        </w:rPr>
      </w:pPr>
    </w:p>
    <w:p w14:paraId="7A4A92E0">
      <w:pPr>
        <w:spacing w:before="120" w:after="120" w:line="360" w:lineRule="auto"/>
        <w:rPr>
          <w:rFonts w:hint="eastAsia" w:ascii="宋体" w:hAnsi="宋体" w:eastAsia="宋体" w:cs="Arial"/>
          <w:b/>
          <w:sz w:val="32"/>
          <w:szCs w:val="32"/>
        </w:rPr>
      </w:pPr>
    </w:p>
    <w:p w14:paraId="19F19B94">
      <w:pPr>
        <w:spacing w:before="120" w:after="120" w:line="360" w:lineRule="auto"/>
        <w:rPr>
          <w:rFonts w:hint="eastAsia" w:ascii="宋体" w:hAnsi="宋体" w:eastAsia="宋体" w:cs="Arial"/>
          <w:b/>
          <w:sz w:val="32"/>
          <w:szCs w:val="32"/>
        </w:rPr>
      </w:pPr>
    </w:p>
    <w:p w14:paraId="64EA4E83">
      <w:pPr>
        <w:spacing w:before="120" w:after="120" w:line="360" w:lineRule="auto"/>
        <w:jc w:val="center"/>
        <w:rPr>
          <w:rFonts w:hint="eastAsia" w:ascii="宋体" w:hAnsi="宋体" w:eastAsia="宋体" w:cs="Arial"/>
          <w:sz w:val="32"/>
          <w:szCs w:val="32"/>
        </w:rPr>
      </w:pPr>
      <w:r>
        <w:rPr>
          <w:rFonts w:ascii="宋体" w:hAnsi="宋体" w:eastAsia="宋体" w:cs="Arial"/>
          <w:b/>
          <w:sz w:val="32"/>
          <w:szCs w:val="32"/>
        </w:rPr>
        <w:t>采购方</w:t>
      </w:r>
      <w:r>
        <w:rPr>
          <w:rFonts w:ascii="宋体" w:hAnsi="宋体" w:eastAsia="宋体" w:cs="Arial"/>
          <w:sz w:val="32"/>
          <w:szCs w:val="32"/>
        </w:rPr>
        <w:t>：广州中大餐饮管理有限公司</w:t>
      </w:r>
    </w:p>
    <w:p w14:paraId="0BD2D7F3">
      <w:pPr>
        <w:spacing w:before="120" w:after="120" w:line="360" w:lineRule="auto"/>
        <w:jc w:val="center"/>
        <w:rPr>
          <w:rFonts w:hint="eastAsia" w:ascii="宋体" w:hAnsi="宋体" w:eastAsia="宋体" w:cs="Arial"/>
          <w:sz w:val="32"/>
          <w:szCs w:val="32"/>
        </w:rPr>
      </w:pPr>
      <w:r>
        <w:rPr>
          <w:rFonts w:hint="eastAsia" w:ascii="宋体" w:hAnsi="宋体" w:eastAsia="宋体" w:cs="Arial"/>
          <w:sz w:val="32"/>
          <w:szCs w:val="32"/>
        </w:rPr>
        <w:t xml:space="preserve">         广州中大康乐园餐饮有限公司</w:t>
      </w:r>
    </w:p>
    <w:p w14:paraId="32B34F62">
      <w:pPr>
        <w:spacing w:before="120" w:after="120" w:line="360" w:lineRule="auto"/>
        <w:jc w:val="center"/>
        <w:rPr>
          <w:rFonts w:hint="eastAsia" w:ascii="宋体" w:hAnsi="宋体" w:eastAsia="宋体"/>
          <w:sz w:val="32"/>
          <w:szCs w:val="32"/>
        </w:rPr>
      </w:pPr>
      <w:r>
        <w:rPr>
          <w:rFonts w:ascii="宋体" w:hAnsi="宋体" w:eastAsia="宋体" w:cs="Arial"/>
          <w:b/>
          <w:sz w:val="32"/>
          <w:szCs w:val="32"/>
        </w:rPr>
        <w:t>日期</w:t>
      </w:r>
      <w:r>
        <w:rPr>
          <w:rFonts w:ascii="宋体" w:hAnsi="宋体" w:eastAsia="宋体" w:cs="Arial"/>
          <w:sz w:val="32"/>
          <w:szCs w:val="32"/>
        </w:rPr>
        <w:t>：202</w:t>
      </w:r>
      <w:r>
        <w:rPr>
          <w:rFonts w:hint="eastAsia" w:ascii="宋体" w:hAnsi="宋体" w:eastAsia="宋体" w:cs="Arial"/>
          <w:sz w:val="32"/>
          <w:szCs w:val="32"/>
        </w:rPr>
        <w:t>6</w:t>
      </w:r>
      <w:r>
        <w:rPr>
          <w:rFonts w:ascii="宋体" w:hAnsi="宋体" w:eastAsia="宋体" w:cs="Arial"/>
          <w:sz w:val="32"/>
          <w:szCs w:val="32"/>
        </w:rPr>
        <w:t>年</w:t>
      </w:r>
      <w:r>
        <w:rPr>
          <w:rFonts w:hint="eastAsia" w:ascii="宋体" w:hAnsi="宋体" w:eastAsia="宋体" w:cs="Arial"/>
          <w:sz w:val="32"/>
          <w:szCs w:val="32"/>
          <w:lang w:val="en-US" w:eastAsia="zh-CN"/>
        </w:rPr>
        <w:t>4</w:t>
      </w:r>
      <w:r>
        <w:rPr>
          <w:rFonts w:ascii="宋体" w:hAnsi="宋体" w:eastAsia="宋体" w:cs="Arial"/>
          <w:sz w:val="32"/>
          <w:szCs w:val="32"/>
        </w:rPr>
        <w:t>月</w:t>
      </w:r>
      <w:bookmarkStart w:id="46" w:name="_GoBack"/>
      <w:bookmarkEnd w:id="46"/>
    </w:p>
    <w:p w14:paraId="23F92EBB">
      <w:pPr>
        <w:widowControl/>
        <w:spacing w:line="360" w:lineRule="auto"/>
        <w:rPr>
          <w:rFonts w:hint="eastAsia" w:ascii="宋体" w:hAnsi="宋体" w:eastAsia="宋体" w:cs="Arial"/>
          <w:b/>
          <w:sz w:val="24"/>
        </w:rPr>
      </w:pPr>
      <w:bookmarkStart w:id="1" w:name="heading_1"/>
      <w:r>
        <w:rPr>
          <w:rFonts w:ascii="宋体" w:hAnsi="宋体" w:eastAsia="宋体" w:cs="Arial"/>
          <w:b/>
          <w:sz w:val="24"/>
        </w:rPr>
        <w:br w:type="page"/>
      </w:r>
    </w:p>
    <w:p w14:paraId="29828464">
      <w:pPr>
        <w:spacing w:before="320" w:after="120" w:line="360" w:lineRule="auto"/>
        <w:jc w:val="center"/>
        <w:outlineLvl w:val="1"/>
        <w:rPr>
          <w:rFonts w:hint="eastAsia" w:ascii="宋体" w:hAnsi="宋体" w:eastAsia="宋体"/>
          <w:sz w:val="24"/>
        </w:rPr>
      </w:pPr>
      <w:r>
        <w:rPr>
          <w:rFonts w:ascii="宋体" w:hAnsi="宋体" w:eastAsia="宋体" w:cs="Arial"/>
          <w:b/>
          <w:sz w:val="24"/>
        </w:rPr>
        <w:t>目录</w:t>
      </w:r>
      <w:bookmarkEnd w:id="1"/>
    </w:p>
    <w:p w14:paraId="0F1DBC9C">
      <w:pPr>
        <w:spacing w:before="120" w:after="120" w:line="360" w:lineRule="auto"/>
        <w:rPr>
          <w:rFonts w:hint="eastAsia" w:ascii="宋体" w:hAnsi="宋体" w:eastAsia="宋体"/>
          <w:sz w:val="24"/>
        </w:rPr>
      </w:pPr>
      <w:r>
        <w:rPr>
          <w:rFonts w:ascii="宋体" w:hAnsi="宋体" w:eastAsia="宋体" w:cs="Arial"/>
          <w:sz w:val="24"/>
        </w:rPr>
        <w:t>第一部分 遴选公告</w:t>
      </w:r>
    </w:p>
    <w:p w14:paraId="02D95CB4">
      <w:pPr>
        <w:spacing w:before="120" w:after="120" w:line="360" w:lineRule="auto"/>
        <w:rPr>
          <w:rFonts w:hint="eastAsia" w:ascii="宋体" w:hAnsi="宋体" w:eastAsia="宋体"/>
          <w:sz w:val="24"/>
        </w:rPr>
      </w:pPr>
      <w:r>
        <w:rPr>
          <w:rFonts w:ascii="宋体" w:hAnsi="宋体" w:eastAsia="宋体" w:cs="Arial"/>
          <w:sz w:val="24"/>
        </w:rPr>
        <w:t>第二部分 采购需求</w:t>
      </w:r>
    </w:p>
    <w:p w14:paraId="67C6296C">
      <w:pPr>
        <w:spacing w:before="120" w:after="120" w:line="360" w:lineRule="auto"/>
        <w:rPr>
          <w:rFonts w:hint="eastAsia" w:ascii="宋体" w:hAnsi="宋体" w:eastAsia="宋体"/>
          <w:sz w:val="24"/>
        </w:rPr>
      </w:pPr>
      <w:r>
        <w:rPr>
          <w:rFonts w:ascii="宋体" w:hAnsi="宋体" w:eastAsia="宋体" w:cs="Arial"/>
          <w:sz w:val="24"/>
        </w:rPr>
        <w:t>第三部分 响应文件编制要求</w:t>
      </w:r>
    </w:p>
    <w:p w14:paraId="383011BE">
      <w:pPr>
        <w:spacing w:before="120" w:after="120" w:line="360" w:lineRule="auto"/>
        <w:rPr>
          <w:rFonts w:hint="eastAsia" w:ascii="宋体" w:hAnsi="宋体" w:eastAsia="宋体"/>
          <w:sz w:val="24"/>
        </w:rPr>
      </w:pPr>
      <w:r>
        <w:rPr>
          <w:rFonts w:ascii="宋体" w:hAnsi="宋体" w:eastAsia="宋体" w:cs="Arial"/>
          <w:sz w:val="24"/>
        </w:rPr>
        <w:t>第四部分 评审办法</w:t>
      </w:r>
    </w:p>
    <w:p w14:paraId="27257A05">
      <w:pPr>
        <w:spacing w:before="120" w:after="120" w:line="360" w:lineRule="auto"/>
        <w:rPr>
          <w:rFonts w:hint="eastAsia" w:ascii="宋体" w:hAnsi="宋体" w:eastAsia="宋体"/>
          <w:sz w:val="24"/>
        </w:rPr>
      </w:pPr>
      <w:r>
        <w:rPr>
          <w:rFonts w:ascii="宋体" w:hAnsi="宋体" w:eastAsia="宋体" w:cs="Arial"/>
          <w:sz w:val="24"/>
        </w:rPr>
        <w:t>第五部分 合同主要条款</w:t>
      </w:r>
    </w:p>
    <w:p w14:paraId="63C6DD0B">
      <w:pPr>
        <w:spacing w:before="120" w:after="120" w:line="360" w:lineRule="auto"/>
        <w:rPr>
          <w:rFonts w:hint="eastAsia" w:ascii="宋体" w:hAnsi="宋体" w:eastAsia="宋体"/>
          <w:sz w:val="24"/>
        </w:rPr>
      </w:pPr>
      <w:r>
        <w:rPr>
          <w:rFonts w:ascii="宋体" w:hAnsi="宋体" w:eastAsia="宋体" w:cs="Arial"/>
          <w:sz w:val="24"/>
        </w:rPr>
        <w:t>附件：响应文件模板（含所有需填报表格）</w:t>
      </w:r>
    </w:p>
    <w:p w14:paraId="5F1AD6EC">
      <w:pPr>
        <w:widowControl/>
        <w:ind w:firstLine="480" w:firstLineChars="200"/>
        <w:rPr>
          <w:rFonts w:hint="eastAsia" w:ascii="宋体" w:hAnsi="宋体" w:eastAsia="宋体"/>
          <w:sz w:val="24"/>
        </w:rPr>
      </w:pPr>
      <w:bookmarkStart w:id="2" w:name="heading_2"/>
      <w:r>
        <w:rPr>
          <w:rFonts w:hint="eastAsia" w:ascii="宋体" w:hAnsi="宋体" w:eastAsia="宋体"/>
          <w:sz w:val="24"/>
        </w:rPr>
        <w:br w:type="page"/>
      </w:r>
    </w:p>
    <w:p w14:paraId="23B3F31A">
      <w:pPr>
        <w:spacing w:before="380" w:after="140" w:line="360" w:lineRule="auto"/>
        <w:ind w:firstLine="482" w:firstLineChars="200"/>
        <w:jc w:val="center"/>
        <w:outlineLvl w:val="0"/>
        <w:rPr>
          <w:rFonts w:hint="eastAsia" w:ascii="宋体" w:hAnsi="宋体" w:eastAsia="宋体"/>
          <w:sz w:val="24"/>
        </w:rPr>
      </w:pPr>
      <w:r>
        <w:rPr>
          <w:rFonts w:ascii="宋体" w:hAnsi="宋体" w:eastAsia="宋体" w:cs="Arial"/>
          <w:b/>
          <w:sz w:val="24"/>
        </w:rPr>
        <w:t>第一部分 遴选公告</w:t>
      </w:r>
      <w:bookmarkEnd w:id="2"/>
    </w:p>
    <w:p w14:paraId="4981FE57">
      <w:pPr>
        <w:pStyle w:val="10"/>
        <w:numPr>
          <w:ilvl w:val="0"/>
          <w:numId w:val="1"/>
        </w:numPr>
        <w:spacing w:before="320" w:after="120" w:line="360" w:lineRule="auto"/>
        <w:ind w:left="0" w:firstLine="482"/>
        <w:outlineLvl w:val="1"/>
        <w:rPr>
          <w:rFonts w:hint="eastAsia" w:ascii="宋体" w:hAnsi="宋体" w:eastAsia="宋体" w:cs="Arial"/>
          <w:b/>
          <w:sz w:val="24"/>
        </w:rPr>
      </w:pPr>
      <w:bookmarkStart w:id="3" w:name="heading_3"/>
      <w:r>
        <w:rPr>
          <w:rFonts w:ascii="宋体" w:hAnsi="宋体" w:eastAsia="宋体" w:cs="Arial"/>
          <w:b/>
          <w:sz w:val="24"/>
        </w:rPr>
        <w:t>项目基本信息</w:t>
      </w:r>
      <w:bookmarkEnd w:id="3"/>
    </w:p>
    <w:p w14:paraId="1B073DE7">
      <w:pPr>
        <w:numPr>
          <w:ilvl w:val="0"/>
          <w:numId w:val="2"/>
        </w:numPr>
        <w:spacing w:before="120" w:after="120" w:line="360" w:lineRule="auto"/>
        <w:ind w:firstLine="482" w:firstLineChars="200"/>
        <w:rPr>
          <w:rFonts w:hint="eastAsia" w:ascii="宋体" w:hAnsi="宋体" w:eastAsia="宋体"/>
          <w:sz w:val="24"/>
        </w:rPr>
      </w:pPr>
      <w:r>
        <w:rPr>
          <w:rFonts w:ascii="宋体" w:hAnsi="宋体" w:eastAsia="宋体" w:cs="Arial"/>
          <w:b/>
          <w:sz w:val="24"/>
        </w:rPr>
        <w:t>项目名称</w:t>
      </w:r>
      <w:r>
        <w:rPr>
          <w:rFonts w:ascii="宋体" w:hAnsi="宋体" w:eastAsia="宋体" w:cs="Arial"/>
          <w:sz w:val="24"/>
        </w:rPr>
        <w:t>：中大餐饮、康乐园餐饮2026年端午粽采购项目</w:t>
      </w:r>
    </w:p>
    <w:p w14:paraId="7FDE88C7">
      <w:pPr>
        <w:numPr>
          <w:ilvl w:val="0"/>
          <w:numId w:val="2"/>
        </w:numPr>
        <w:spacing w:before="120" w:after="120" w:line="360" w:lineRule="auto"/>
        <w:ind w:firstLine="482" w:firstLineChars="200"/>
        <w:rPr>
          <w:rFonts w:hint="eastAsia" w:ascii="宋体" w:hAnsi="宋体" w:eastAsia="宋体"/>
          <w:sz w:val="24"/>
        </w:rPr>
      </w:pPr>
      <w:r>
        <w:rPr>
          <w:rFonts w:ascii="宋体" w:hAnsi="宋体" w:eastAsia="宋体" w:cs="Arial"/>
          <w:b/>
          <w:sz w:val="24"/>
        </w:rPr>
        <w:t>采购方式</w:t>
      </w:r>
      <w:r>
        <w:rPr>
          <w:rFonts w:ascii="宋体" w:hAnsi="宋体" w:eastAsia="宋体" w:cs="Arial"/>
          <w:sz w:val="24"/>
        </w:rPr>
        <w:t>：</w:t>
      </w:r>
      <w:r>
        <w:rPr>
          <w:rFonts w:hint="eastAsia" w:ascii="宋体" w:hAnsi="宋体" w:eastAsia="宋体" w:cs="Arial"/>
          <w:sz w:val="24"/>
        </w:rPr>
        <w:t>公开</w:t>
      </w:r>
      <w:r>
        <w:rPr>
          <w:rFonts w:ascii="宋体" w:hAnsi="宋体" w:eastAsia="宋体" w:cs="Arial"/>
          <w:sz w:val="24"/>
        </w:rPr>
        <w:t>遴选</w:t>
      </w:r>
    </w:p>
    <w:p w14:paraId="17322D89">
      <w:pPr>
        <w:numPr>
          <w:ilvl w:val="0"/>
          <w:numId w:val="2"/>
        </w:numPr>
        <w:spacing w:before="120" w:after="120" w:line="360" w:lineRule="auto"/>
        <w:ind w:firstLine="480" w:firstLineChars="200"/>
        <w:rPr>
          <w:rFonts w:hint="eastAsia" w:ascii="宋体" w:hAnsi="宋体" w:eastAsia="宋体"/>
          <w:sz w:val="24"/>
        </w:rPr>
      </w:pPr>
      <w:r>
        <w:rPr>
          <w:rFonts w:hint="eastAsia" w:ascii="宋体" w:hAnsi="宋体" w:eastAsia="宋体" w:cs="Arial"/>
          <w:sz w:val="24"/>
        </w:rPr>
        <w:t>项目总报价最高限价：中大餐饮 373,000.00 元，康乐园餐饮 15,000.00 元。</w:t>
      </w:r>
    </w:p>
    <w:p w14:paraId="7B09A254">
      <w:pPr>
        <w:numPr>
          <w:ilvl w:val="0"/>
          <w:numId w:val="2"/>
        </w:numPr>
        <w:spacing w:before="120" w:after="120" w:line="360" w:lineRule="auto"/>
        <w:ind w:firstLine="482" w:firstLineChars="200"/>
        <w:rPr>
          <w:rFonts w:hint="eastAsia" w:ascii="宋体" w:hAnsi="宋体" w:eastAsia="宋体" w:cs="Arial"/>
          <w:b/>
          <w:sz w:val="24"/>
        </w:rPr>
      </w:pPr>
      <w:r>
        <w:rPr>
          <w:rFonts w:ascii="宋体" w:hAnsi="宋体" w:eastAsia="宋体" w:cs="Arial"/>
          <w:b/>
          <w:sz w:val="24"/>
        </w:rPr>
        <w:t>服务地点：</w:t>
      </w:r>
      <w:r>
        <w:rPr>
          <w:rFonts w:hint="eastAsia" w:ascii="宋体" w:hAnsi="宋体" w:eastAsia="宋体" w:cs="Arial"/>
          <w:bCs/>
          <w:sz w:val="24"/>
        </w:rPr>
        <w:t>广州市南沙区东涌镇马兴街3号(厂房二)、广州市海珠区新港西路135号中大蒲园区609号康乐园餐厅及</w:t>
      </w:r>
      <w:r>
        <w:rPr>
          <w:rFonts w:ascii="宋体" w:hAnsi="宋体" w:eastAsia="宋体" w:cs="Arial"/>
          <w:bCs/>
          <w:sz w:val="24"/>
        </w:rPr>
        <w:t>采购人后续指定的广州校区内其他食堂点位</w:t>
      </w:r>
    </w:p>
    <w:p w14:paraId="3BA56E3F">
      <w:pPr>
        <w:numPr>
          <w:ilvl w:val="0"/>
          <w:numId w:val="2"/>
        </w:numPr>
        <w:spacing w:before="120" w:after="120" w:line="360" w:lineRule="auto"/>
        <w:ind w:firstLine="482" w:firstLineChars="200"/>
        <w:rPr>
          <w:rFonts w:hint="eastAsia" w:ascii="宋体" w:hAnsi="宋体" w:eastAsia="宋体" w:cs="Arial"/>
          <w:b/>
          <w:sz w:val="24"/>
        </w:rPr>
      </w:pPr>
      <w:r>
        <w:rPr>
          <w:rFonts w:ascii="宋体" w:hAnsi="宋体" w:eastAsia="宋体" w:cs="Arial"/>
          <w:b/>
          <w:sz w:val="24"/>
        </w:rPr>
        <w:t>入围方式</w:t>
      </w:r>
      <w:r>
        <w:rPr>
          <w:rFonts w:ascii="宋体" w:hAnsi="宋体" w:eastAsia="宋体" w:cs="Arial"/>
          <w:sz w:val="24"/>
        </w:rPr>
        <w:t>：</w:t>
      </w:r>
      <w:r>
        <w:rPr>
          <w:rFonts w:ascii="宋体" w:hAnsi="宋体" w:eastAsia="宋体" w:cs="Arial"/>
          <w:b/>
          <w:sz w:val="24"/>
        </w:rPr>
        <w:t xml:space="preserve"> 1家中选单位</w:t>
      </w:r>
      <w:r>
        <w:rPr>
          <w:rFonts w:ascii="宋体" w:hAnsi="宋体" w:eastAsia="宋体" w:cs="Arial"/>
          <w:sz w:val="24"/>
        </w:rPr>
        <w:t>、</w:t>
      </w:r>
      <w:r>
        <w:rPr>
          <w:rFonts w:ascii="宋体" w:hAnsi="宋体" w:eastAsia="宋体" w:cs="Arial"/>
          <w:b/>
          <w:sz w:val="24"/>
        </w:rPr>
        <w:t>1家备选单位</w:t>
      </w:r>
      <w:r>
        <w:rPr>
          <w:rFonts w:ascii="宋体" w:hAnsi="宋体" w:eastAsia="宋体" w:cs="Arial"/>
          <w:sz w:val="24"/>
        </w:rPr>
        <w:t>；备选单位在中选单位无法履行合同义务时，按遴选结果顺位承接本项目。</w:t>
      </w:r>
    </w:p>
    <w:p w14:paraId="548338EF">
      <w:pPr>
        <w:numPr>
          <w:ilvl w:val="0"/>
          <w:numId w:val="2"/>
        </w:numPr>
        <w:spacing w:before="120" w:after="120" w:line="360" w:lineRule="auto"/>
        <w:ind w:firstLine="482" w:firstLineChars="200"/>
        <w:rPr>
          <w:rFonts w:hint="eastAsia" w:ascii="宋体" w:hAnsi="宋体" w:eastAsia="宋体" w:cs="Arial"/>
          <w:b/>
          <w:sz w:val="24"/>
        </w:rPr>
      </w:pPr>
      <w:r>
        <w:rPr>
          <w:rFonts w:hint="eastAsia" w:ascii="宋体" w:hAnsi="宋体" w:eastAsia="宋体" w:cs="Arial"/>
          <w:b/>
          <w:sz w:val="24"/>
        </w:rPr>
        <w:t>交货时间</w:t>
      </w:r>
      <w:r>
        <w:rPr>
          <w:rFonts w:ascii="宋体" w:hAnsi="宋体" w:eastAsia="宋体" w:cs="Arial"/>
          <w:sz w:val="24"/>
        </w:rPr>
        <w:t>：</w:t>
      </w:r>
      <w:r>
        <w:rPr>
          <w:rFonts w:hint="eastAsia" w:ascii="宋体" w:hAnsi="宋体" w:eastAsia="宋体" w:cs="Arial"/>
          <w:sz w:val="24"/>
        </w:rPr>
        <w:t>2026年端午节前，具体时间以采购方规定为准。</w:t>
      </w:r>
    </w:p>
    <w:p w14:paraId="492BFEB1">
      <w:pPr>
        <w:numPr>
          <w:ilvl w:val="0"/>
          <w:numId w:val="2"/>
        </w:numPr>
        <w:spacing w:before="120" w:after="120" w:line="360" w:lineRule="auto"/>
        <w:ind w:firstLine="482" w:firstLineChars="200"/>
        <w:rPr>
          <w:rFonts w:hint="eastAsia" w:ascii="宋体" w:hAnsi="宋体" w:eastAsia="宋体" w:cs="Arial"/>
          <w:b/>
          <w:sz w:val="24"/>
        </w:rPr>
      </w:pPr>
      <w:r>
        <w:rPr>
          <w:rFonts w:hint="eastAsia" w:ascii="宋体" w:hAnsi="宋体" w:eastAsia="宋体" w:cs="Arial"/>
          <w:b/>
          <w:sz w:val="24"/>
        </w:rPr>
        <w:t>其他说明：</w:t>
      </w:r>
      <w:r>
        <w:rPr>
          <w:rFonts w:hint="eastAsia" w:ascii="宋体" w:hAnsi="宋体" w:eastAsia="宋体" w:cs="Arial"/>
          <w:bCs/>
          <w:sz w:val="24"/>
        </w:rPr>
        <w:t>因粽子为时令性食品，故中选方如未能按采购方要求的供货时间供货，采购方可拒收货物且不支付任何费用同时履约保证金不予退还。</w:t>
      </w:r>
    </w:p>
    <w:p w14:paraId="37D6AC49">
      <w:pPr>
        <w:pStyle w:val="10"/>
        <w:numPr>
          <w:ilvl w:val="0"/>
          <w:numId w:val="1"/>
        </w:numPr>
        <w:spacing w:before="320" w:after="120" w:line="360" w:lineRule="auto"/>
        <w:ind w:left="0" w:firstLine="482"/>
        <w:outlineLvl w:val="1"/>
        <w:rPr>
          <w:rFonts w:hint="eastAsia" w:ascii="宋体" w:hAnsi="宋体" w:eastAsia="宋体" w:cs="Arial"/>
          <w:b/>
          <w:sz w:val="24"/>
        </w:rPr>
      </w:pPr>
      <w:bookmarkStart w:id="4" w:name="heading_4"/>
      <w:r>
        <w:rPr>
          <w:rFonts w:ascii="宋体" w:hAnsi="宋体" w:eastAsia="宋体" w:cs="Arial"/>
          <w:b/>
          <w:sz w:val="24"/>
        </w:rPr>
        <w:t>采购内容</w:t>
      </w:r>
      <w:bookmarkEnd w:id="4"/>
    </w:p>
    <w:p w14:paraId="419C3A25">
      <w:pPr>
        <w:spacing w:before="120" w:after="120" w:line="360" w:lineRule="auto"/>
        <w:ind w:firstLine="480" w:firstLineChars="200"/>
        <w:rPr>
          <w:rFonts w:hint="eastAsia" w:ascii="宋体" w:hAnsi="宋体" w:eastAsia="宋体"/>
          <w:sz w:val="24"/>
        </w:rPr>
      </w:pPr>
      <w:r>
        <w:rPr>
          <w:rFonts w:ascii="宋体" w:hAnsi="宋体" w:eastAsia="宋体" w:cs="Arial"/>
          <w:sz w:val="24"/>
        </w:rPr>
        <w:t>具体品类、规格、限价等详见本文件</w:t>
      </w:r>
      <w:r>
        <w:rPr>
          <w:rFonts w:ascii="宋体" w:hAnsi="宋体" w:eastAsia="宋体" w:cs="Arial"/>
          <w:b/>
          <w:sz w:val="24"/>
        </w:rPr>
        <w:t>第二部分 采购需求</w:t>
      </w:r>
      <w:r>
        <w:rPr>
          <w:rFonts w:ascii="宋体" w:hAnsi="宋体" w:eastAsia="宋体" w:cs="Arial"/>
          <w:sz w:val="24"/>
        </w:rPr>
        <w:t>。</w:t>
      </w:r>
    </w:p>
    <w:p w14:paraId="216F7E2D">
      <w:pPr>
        <w:pStyle w:val="10"/>
        <w:numPr>
          <w:ilvl w:val="0"/>
          <w:numId w:val="1"/>
        </w:numPr>
        <w:spacing w:before="320" w:after="120" w:line="360" w:lineRule="auto"/>
        <w:ind w:left="0" w:firstLine="482"/>
        <w:outlineLvl w:val="1"/>
        <w:rPr>
          <w:rFonts w:hint="eastAsia" w:ascii="宋体" w:hAnsi="宋体" w:eastAsia="宋体" w:cs="Arial"/>
          <w:b/>
          <w:sz w:val="24"/>
        </w:rPr>
      </w:pPr>
      <w:bookmarkStart w:id="5" w:name="heading_5"/>
      <w:r>
        <w:rPr>
          <w:rFonts w:ascii="宋体" w:hAnsi="宋体" w:eastAsia="宋体" w:cs="Arial"/>
          <w:b/>
          <w:sz w:val="24"/>
        </w:rPr>
        <w:t>供应商资质要求</w:t>
      </w:r>
      <w:bookmarkEnd w:id="5"/>
    </w:p>
    <w:p w14:paraId="4D484AEE">
      <w:pPr>
        <w:numPr>
          <w:ilvl w:val="0"/>
          <w:numId w:val="3"/>
        </w:numPr>
        <w:spacing w:before="120" w:after="120" w:line="360" w:lineRule="auto"/>
        <w:ind w:firstLine="480" w:firstLineChars="200"/>
        <w:rPr>
          <w:rFonts w:hint="eastAsia" w:ascii="宋体" w:hAnsi="宋体" w:eastAsia="宋体" w:cs="Arial"/>
          <w:bCs/>
          <w:sz w:val="24"/>
        </w:rPr>
      </w:pPr>
      <w:r>
        <w:rPr>
          <w:rFonts w:ascii="宋体" w:hAnsi="宋体" w:eastAsia="宋体" w:cs="Arial"/>
          <w:bCs/>
          <w:sz w:val="24"/>
        </w:rPr>
        <w:t>供应商为中华人民共和国境内注册的法人/其他组织，持有有效营业执照（经营范围含食品销售/配送/食品经营等相关内容）；分公司响应的，须提供总公司出具的唯一授权书及总公司+分公司营业执照复印件，总公司/下属分公司业绩、资质不得作为分公司评审依据。</w:t>
      </w:r>
    </w:p>
    <w:p w14:paraId="696F6A58">
      <w:pPr>
        <w:numPr>
          <w:ilvl w:val="0"/>
          <w:numId w:val="3"/>
        </w:numPr>
        <w:spacing w:before="120" w:after="120" w:line="360" w:lineRule="auto"/>
        <w:ind w:firstLine="480" w:firstLineChars="200"/>
        <w:rPr>
          <w:rFonts w:hint="eastAsia" w:ascii="宋体" w:hAnsi="宋体" w:eastAsia="宋体" w:cs="Arial"/>
          <w:bCs/>
          <w:sz w:val="24"/>
        </w:rPr>
      </w:pPr>
      <w:r>
        <w:rPr>
          <w:rFonts w:ascii="宋体" w:hAnsi="宋体" w:eastAsia="宋体" w:cs="Arial"/>
          <w:sz w:val="24"/>
        </w:rPr>
        <w:t>未被列入“信用中国”网站（</w:t>
      </w:r>
      <w:r>
        <w:fldChar w:fldCharType="begin"/>
      </w:r>
      <w:r>
        <w:instrText xml:space="preserve"> HYPERLINK "http://www.creditchina.gov.cn" \h </w:instrText>
      </w:r>
      <w:r>
        <w:fldChar w:fldCharType="separate"/>
      </w:r>
      <w:r>
        <w:rPr>
          <w:rFonts w:ascii="宋体" w:hAnsi="宋体" w:eastAsia="宋体" w:cs="Arial"/>
          <w:sz w:val="24"/>
        </w:rPr>
        <w:t>www.creditchina.gov.cn</w:t>
      </w:r>
      <w:r>
        <w:rPr>
          <w:rFonts w:ascii="宋体" w:hAnsi="宋体" w:eastAsia="宋体" w:cs="Arial"/>
          <w:sz w:val="24"/>
        </w:rPr>
        <w:fldChar w:fldCharType="end"/>
      </w:r>
      <w:r>
        <w:rPr>
          <w:rFonts w:ascii="宋体" w:hAnsi="宋体" w:eastAsia="宋体" w:cs="Arial"/>
          <w:sz w:val="24"/>
        </w:rPr>
        <w:t>）</w:t>
      </w:r>
      <w:r>
        <w:rPr>
          <w:rFonts w:ascii="宋体" w:hAnsi="宋体" w:eastAsia="宋体" w:cs="Arial"/>
          <w:b/>
          <w:sz w:val="24"/>
        </w:rPr>
        <w:t>失信被执行人、重大税收违法失信主体</w:t>
      </w:r>
      <w:r>
        <w:rPr>
          <w:rFonts w:ascii="宋体" w:hAnsi="宋体" w:eastAsia="宋体" w:cs="Arial"/>
          <w:sz w:val="24"/>
        </w:rPr>
        <w:t>名单，未处于中国政府采购网（</w:t>
      </w:r>
      <w:r>
        <w:fldChar w:fldCharType="begin"/>
      </w:r>
      <w:r>
        <w:instrText xml:space="preserve"> HYPERLINK "http://www.ccgp.gov.cn" \h </w:instrText>
      </w:r>
      <w:r>
        <w:fldChar w:fldCharType="separate"/>
      </w:r>
      <w:r>
        <w:rPr>
          <w:rFonts w:ascii="宋体" w:hAnsi="宋体" w:eastAsia="宋体" w:cs="Arial"/>
          <w:sz w:val="24"/>
        </w:rPr>
        <w:t>www.ccgp.gov.cn</w:t>
      </w:r>
      <w:r>
        <w:rPr>
          <w:rFonts w:ascii="宋体" w:hAnsi="宋体" w:eastAsia="宋体" w:cs="Arial"/>
          <w:sz w:val="24"/>
        </w:rPr>
        <w:fldChar w:fldCharType="end"/>
      </w:r>
      <w:r>
        <w:rPr>
          <w:rFonts w:ascii="宋体" w:hAnsi="宋体" w:eastAsia="宋体" w:cs="Arial"/>
          <w:sz w:val="24"/>
        </w:rPr>
        <w:t>）</w:t>
      </w:r>
      <w:r>
        <w:rPr>
          <w:rFonts w:ascii="宋体" w:hAnsi="宋体" w:eastAsia="宋体" w:cs="Arial"/>
          <w:b/>
          <w:sz w:val="24"/>
        </w:rPr>
        <w:t>政府采购严重违法失信行为信息记录</w:t>
      </w:r>
      <w:r>
        <w:rPr>
          <w:rFonts w:ascii="宋体" w:hAnsi="宋体" w:eastAsia="宋体" w:cs="Arial"/>
          <w:sz w:val="24"/>
        </w:rPr>
        <w:t>禁止期内；分公司响应的同步核查总公司信用，总公司有不良记录视同供应商存在不良记录（以采购方响应截止日查询结果为准）</w:t>
      </w:r>
      <w:r>
        <w:rPr>
          <w:rFonts w:hint="eastAsia" w:ascii="宋体" w:hAnsi="宋体" w:eastAsia="宋体" w:cs="Arial"/>
          <w:sz w:val="24"/>
        </w:rPr>
        <w:t>（在上述网站查询结果均显示没有相关记录，视为不存在上述不良信用记录）。</w:t>
      </w:r>
    </w:p>
    <w:p w14:paraId="724FA2A8">
      <w:pPr>
        <w:numPr>
          <w:ilvl w:val="0"/>
          <w:numId w:val="3"/>
        </w:numPr>
        <w:spacing w:before="120" w:after="120" w:line="360" w:lineRule="auto"/>
        <w:ind w:firstLine="480" w:firstLineChars="200"/>
        <w:rPr>
          <w:rFonts w:hint="eastAsia" w:ascii="宋体" w:hAnsi="宋体" w:eastAsia="宋体" w:cs="Arial"/>
          <w:bCs/>
          <w:sz w:val="24"/>
        </w:rPr>
      </w:pPr>
      <w:r>
        <w:rPr>
          <w:rFonts w:ascii="宋体" w:hAnsi="宋体" w:eastAsia="宋体" w:cs="Arial"/>
          <w:sz w:val="24"/>
        </w:rPr>
        <w:t>持有</w:t>
      </w:r>
      <w:r>
        <w:rPr>
          <w:rFonts w:ascii="宋体" w:hAnsi="宋体" w:eastAsia="宋体" w:cs="Arial"/>
          <w:b/>
          <w:sz w:val="24"/>
        </w:rPr>
        <w:t>有效</w:t>
      </w:r>
      <w:r>
        <w:rPr>
          <w:rFonts w:hint="eastAsia" w:ascii="宋体" w:hAnsi="宋体" w:eastAsia="宋体" w:cs="Arial"/>
          <w:b/>
          <w:sz w:val="24"/>
        </w:rPr>
        <w:t>《食品经营许可证》或《食品生产许可证》或《仅销售预包装食品经营者备案信息采集表》（如国家另有规定，则适用其规定）</w:t>
      </w:r>
      <w:r>
        <w:rPr>
          <w:rFonts w:ascii="宋体" w:hAnsi="宋体" w:eastAsia="宋体" w:cs="Arial"/>
          <w:sz w:val="24"/>
        </w:rPr>
        <w:t>。</w:t>
      </w:r>
    </w:p>
    <w:p w14:paraId="74200E6C">
      <w:pPr>
        <w:numPr>
          <w:ilvl w:val="0"/>
          <w:numId w:val="3"/>
        </w:numPr>
        <w:spacing w:before="120" w:after="120" w:line="360" w:lineRule="auto"/>
        <w:ind w:firstLine="480" w:firstLineChars="200"/>
        <w:rPr>
          <w:rFonts w:hint="eastAsia" w:ascii="宋体" w:hAnsi="宋体" w:eastAsia="宋体" w:cs="Arial"/>
          <w:bCs/>
          <w:sz w:val="24"/>
        </w:rPr>
      </w:pPr>
      <w:r>
        <w:rPr>
          <w:rFonts w:hint="eastAsia" w:ascii="宋体" w:hAnsi="宋体" w:eastAsia="宋体" w:cs="Arial"/>
          <w:bCs/>
          <w:sz w:val="24"/>
        </w:rPr>
        <w:t>非生产商须提供所投品牌产品</w:t>
      </w:r>
      <w:r>
        <w:rPr>
          <w:rFonts w:hint="eastAsia" w:ascii="宋体" w:hAnsi="宋体" w:eastAsia="宋体" w:cs="Arial"/>
          <w:b/>
          <w:sz w:val="24"/>
        </w:rPr>
        <w:t>生产厂商的营业执照、食品生产许可证和委托经销证明</w:t>
      </w:r>
      <w:r>
        <w:rPr>
          <w:rFonts w:hint="eastAsia" w:ascii="宋体" w:hAnsi="宋体" w:eastAsia="宋体" w:cs="Arial"/>
          <w:bCs/>
          <w:sz w:val="24"/>
        </w:rPr>
        <w:t>。</w:t>
      </w:r>
    </w:p>
    <w:p w14:paraId="0CD64E22">
      <w:pPr>
        <w:numPr>
          <w:ilvl w:val="0"/>
          <w:numId w:val="3"/>
        </w:numPr>
        <w:spacing w:before="120" w:after="120" w:line="360" w:lineRule="auto"/>
        <w:ind w:firstLine="480" w:firstLineChars="200"/>
        <w:rPr>
          <w:rFonts w:hint="eastAsia" w:ascii="宋体" w:hAnsi="宋体" w:eastAsia="宋体" w:cs="Arial"/>
          <w:bCs/>
          <w:sz w:val="24"/>
        </w:rPr>
      </w:pPr>
      <w:r>
        <w:rPr>
          <w:rFonts w:ascii="宋体" w:hAnsi="宋体" w:eastAsia="宋体" w:cs="Arial"/>
          <w:sz w:val="24"/>
        </w:rPr>
        <w:t>本项目</w:t>
      </w:r>
      <w:r>
        <w:rPr>
          <w:rFonts w:ascii="宋体" w:hAnsi="宋体" w:eastAsia="宋体" w:cs="Arial"/>
          <w:b/>
          <w:sz w:val="24"/>
        </w:rPr>
        <w:t>不接受联合体遴选</w:t>
      </w:r>
      <w:r>
        <w:rPr>
          <w:rFonts w:ascii="宋体" w:hAnsi="宋体" w:eastAsia="宋体" w:cs="Arial"/>
          <w:sz w:val="24"/>
        </w:rPr>
        <w:t>，不允许转包、分包。</w:t>
      </w:r>
    </w:p>
    <w:p w14:paraId="14801C6F">
      <w:pPr>
        <w:pStyle w:val="10"/>
        <w:numPr>
          <w:ilvl w:val="0"/>
          <w:numId w:val="1"/>
        </w:numPr>
        <w:spacing w:before="320" w:after="120" w:line="360" w:lineRule="auto"/>
        <w:ind w:left="0" w:firstLine="482"/>
        <w:outlineLvl w:val="1"/>
        <w:rPr>
          <w:rFonts w:hint="eastAsia" w:ascii="宋体" w:hAnsi="宋体" w:eastAsia="宋体" w:cs="Arial"/>
          <w:b/>
          <w:sz w:val="24"/>
        </w:rPr>
      </w:pPr>
      <w:bookmarkStart w:id="6" w:name="heading_7"/>
      <w:r>
        <w:rPr>
          <w:rFonts w:ascii="宋体" w:hAnsi="宋体" w:eastAsia="宋体" w:cs="Arial"/>
          <w:b/>
          <w:sz w:val="24"/>
        </w:rPr>
        <w:t>响应文件递交</w:t>
      </w:r>
      <w:bookmarkEnd w:id="6"/>
    </w:p>
    <w:p w14:paraId="11CF9D01">
      <w:pPr>
        <w:numPr>
          <w:ilvl w:val="0"/>
          <w:numId w:val="4"/>
        </w:numPr>
        <w:spacing w:before="120" w:after="120" w:line="360" w:lineRule="auto"/>
        <w:ind w:firstLine="482" w:firstLineChars="200"/>
        <w:rPr>
          <w:rFonts w:hint="eastAsia" w:ascii="宋体" w:hAnsi="宋体" w:eastAsia="宋体"/>
          <w:sz w:val="24"/>
        </w:rPr>
      </w:pPr>
      <w:r>
        <w:rPr>
          <w:rFonts w:ascii="宋体" w:hAnsi="宋体" w:eastAsia="宋体" w:cs="Arial"/>
          <w:b/>
          <w:sz w:val="24"/>
        </w:rPr>
        <w:t>递交地址</w:t>
      </w:r>
      <w:r>
        <w:rPr>
          <w:rFonts w:ascii="宋体" w:hAnsi="宋体" w:eastAsia="宋体" w:cs="Arial"/>
          <w:sz w:val="24"/>
        </w:rPr>
        <w:t>：广东省广州市海珠区新港西路135号中山大学园东区111号饮食服务中心采购部；</w:t>
      </w:r>
    </w:p>
    <w:p w14:paraId="64C6D833">
      <w:pPr>
        <w:pStyle w:val="10"/>
        <w:numPr>
          <w:ilvl w:val="0"/>
          <w:numId w:val="4"/>
        </w:numPr>
        <w:ind w:firstLineChars="0"/>
        <w:rPr>
          <w:rFonts w:hint="eastAsia" w:ascii="宋体" w:hAnsi="宋体" w:eastAsia="宋体"/>
          <w:sz w:val="24"/>
        </w:rPr>
      </w:pPr>
      <w:r>
        <w:rPr>
          <w:rFonts w:hint="eastAsia" w:ascii="宋体" w:hAnsi="宋体" w:eastAsia="宋体"/>
          <w:b/>
          <w:bCs/>
          <w:sz w:val="24"/>
        </w:rPr>
        <w:t>联系人</w:t>
      </w:r>
      <w:r>
        <w:rPr>
          <w:rFonts w:hint="eastAsia" w:ascii="宋体" w:hAnsi="宋体" w:eastAsia="宋体"/>
          <w:sz w:val="24"/>
        </w:rPr>
        <w:t>：陈小姐；联系电话：020-84113931 。</w:t>
      </w:r>
    </w:p>
    <w:p w14:paraId="3B60F624">
      <w:pPr>
        <w:numPr>
          <w:ilvl w:val="0"/>
          <w:numId w:val="4"/>
        </w:numPr>
        <w:spacing w:before="120" w:after="120" w:line="360" w:lineRule="auto"/>
        <w:ind w:firstLine="482" w:firstLineChars="200"/>
        <w:rPr>
          <w:rFonts w:hint="eastAsia" w:ascii="宋体" w:hAnsi="宋体" w:eastAsia="宋体"/>
          <w:sz w:val="24"/>
        </w:rPr>
      </w:pPr>
      <w:r>
        <w:rPr>
          <w:rFonts w:ascii="宋体" w:hAnsi="宋体" w:eastAsia="宋体" w:cs="Arial"/>
          <w:b/>
          <w:sz w:val="24"/>
        </w:rPr>
        <w:t>递交截止时间</w:t>
      </w:r>
      <w:r>
        <w:rPr>
          <w:rFonts w:ascii="宋体" w:hAnsi="宋体" w:eastAsia="宋体" w:cs="Arial"/>
          <w:sz w:val="24"/>
        </w:rPr>
        <w:t>：202</w:t>
      </w:r>
      <w:r>
        <w:rPr>
          <w:rFonts w:ascii="宋体" w:hAnsi="宋体" w:eastAsia="宋体" w:cs="Arial"/>
          <w:color w:val="000000" w:themeColor="text1"/>
          <w:sz w:val="24"/>
          <w14:textFill>
            <w14:solidFill>
              <w14:schemeClr w14:val="tx1"/>
            </w14:solidFill>
          </w14:textFill>
        </w:rPr>
        <w:t>6年</w:t>
      </w:r>
      <w:r>
        <w:rPr>
          <w:rFonts w:hint="eastAsia" w:ascii="宋体" w:hAnsi="宋体" w:eastAsia="宋体" w:cs="Arial"/>
          <w:color w:val="000000" w:themeColor="text1"/>
          <w:sz w:val="24"/>
          <w14:textFill>
            <w14:solidFill>
              <w14:schemeClr w14:val="tx1"/>
            </w14:solidFill>
          </w14:textFill>
        </w:rPr>
        <w:t>4</w:t>
      </w:r>
      <w:r>
        <w:rPr>
          <w:rFonts w:ascii="宋体" w:hAnsi="宋体" w:eastAsia="宋体" w:cs="Arial"/>
          <w:color w:val="000000" w:themeColor="text1"/>
          <w:sz w:val="24"/>
          <w14:textFill>
            <w14:solidFill>
              <w14:schemeClr w14:val="tx1"/>
            </w14:solidFill>
          </w14:textFill>
        </w:rPr>
        <w:t>月</w:t>
      </w:r>
      <w:r>
        <w:rPr>
          <w:rFonts w:hint="eastAsia" w:ascii="宋体" w:hAnsi="宋体" w:eastAsia="宋体" w:cs="Arial"/>
          <w:color w:val="000000" w:themeColor="text1"/>
          <w:sz w:val="24"/>
          <w14:textFill>
            <w14:solidFill>
              <w14:schemeClr w14:val="tx1"/>
            </w14:solidFill>
          </w14:textFill>
        </w:rPr>
        <w:t>17</w:t>
      </w:r>
      <w:r>
        <w:rPr>
          <w:rFonts w:ascii="宋体" w:hAnsi="宋体" w:eastAsia="宋体" w:cs="Arial"/>
          <w:color w:val="000000" w:themeColor="text1"/>
          <w:sz w:val="24"/>
          <w14:textFill>
            <w14:solidFill>
              <w14:schemeClr w14:val="tx1"/>
            </w14:solidFill>
          </w14:textFill>
        </w:rPr>
        <w:t>日中午12</w:t>
      </w:r>
      <w:r>
        <w:rPr>
          <w:rFonts w:ascii="宋体" w:hAnsi="宋体" w:eastAsia="宋体" w:cs="Arial"/>
          <w:sz w:val="24"/>
        </w:rPr>
        <w:t>:00（逾期送达、未按要求密封的响应文件，采购方有权拒收）；</w:t>
      </w:r>
    </w:p>
    <w:p w14:paraId="11CFA636">
      <w:pPr>
        <w:numPr>
          <w:ilvl w:val="0"/>
          <w:numId w:val="4"/>
        </w:numPr>
        <w:spacing w:before="120" w:after="120" w:line="360" w:lineRule="auto"/>
        <w:ind w:firstLine="482" w:firstLineChars="200"/>
        <w:rPr>
          <w:rFonts w:hint="eastAsia" w:ascii="宋体" w:hAnsi="宋体" w:eastAsia="宋体"/>
          <w:sz w:val="24"/>
        </w:rPr>
      </w:pPr>
      <w:r>
        <w:rPr>
          <w:rFonts w:ascii="宋体" w:hAnsi="宋体" w:eastAsia="宋体" w:cs="Arial"/>
          <w:b/>
          <w:sz w:val="24"/>
        </w:rPr>
        <w:t>递交要求</w:t>
      </w:r>
      <w:r>
        <w:rPr>
          <w:rFonts w:ascii="宋体" w:hAnsi="宋体" w:eastAsia="宋体" w:cs="Arial"/>
          <w:sz w:val="24"/>
        </w:rPr>
        <w:t>：</w:t>
      </w:r>
    </w:p>
    <w:p w14:paraId="66282501">
      <w:pPr>
        <w:pStyle w:val="10"/>
        <w:numPr>
          <w:ilvl w:val="0"/>
          <w:numId w:val="5"/>
        </w:numPr>
        <w:spacing w:before="120" w:after="120" w:line="360" w:lineRule="auto"/>
        <w:ind w:left="0" w:firstLine="567" w:firstLineChars="0"/>
        <w:rPr>
          <w:rFonts w:hint="eastAsia" w:ascii="宋体" w:hAnsi="宋体" w:eastAsia="宋体"/>
          <w:sz w:val="24"/>
        </w:rPr>
      </w:pPr>
      <w:r>
        <w:rPr>
          <w:rFonts w:ascii="宋体" w:hAnsi="宋体" w:eastAsia="宋体" w:cs="Arial"/>
          <w:sz w:val="24"/>
        </w:rPr>
        <w:t>响应文件含</w:t>
      </w:r>
      <w:r>
        <w:rPr>
          <w:rFonts w:ascii="宋体" w:hAnsi="宋体" w:eastAsia="宋体" w:cs="Arial"/>
          <w:b/>
          <w:sz w:val="24"/>
        </w:rPr>
        <w:t>正本1份、副本1份、U盘1个</w:t>
      </w:r>
      <w:r>
        <w:rPr>
          <w:rFonts w:ascii="宋体" w:hAnsi="宋体" w:eastAsia="宋体" w:cs="Arial"/>
          <w:sz w:val="24"/>
        </w:rPr>
        <w:t>（U盘内为响应文件正本盖章扫描版，价格部分额外提供Excel版）；</w:t>
      </w:r>
    </w:p>
    <w:p w14:paraId="2D208AD4">
      <w:pPr>
        <w:pStyle w:val="10"/>
        <w:numPr>
          <w:ilvl w:val="0"/>
          <w:numId w:val="5"/>
        </w:numPr>
        <w:spacing w:before="120" w:after="120" w:line="360" w:lineRule="auto"/>
        <w:ind w:left="0" w:firstLine="567" w:firstLineChars="0"/>
        <w:rPr>
          <w:rFonts w:hint="eastAsia" w:ascii="宋体" w:hAnsi="宋体" w:eastAsia="宋体"/>
          <w:sz w:val="24"/>
        </w:rPr>
      </w:pPr>
      <w:r>
        <w:rPr>
          <w:rFonts w:ascii="宋体" w:hAnsi="宋体" w:eastAsia="宋体" w:cs="Arial"/>
          <w:sz w:val="24"/>
        </w:rPr>
        <w:t>响应文件装订成册，列明目录及页码；正本打印并由法定代表人/授权委托人签字+加盖公章，副本可复印但须加盖公章；</w:t>
      </w:r>
    </w:p>
    <w:p w14:paraId="547ABD55">
      <w:pPr>
        <w:pStyle w:val="10"/>
        <w:numPr>
          <w:ilvl w:val="0"/>
          <w:numId w:val="5"/>
        </w:numPr>
        <w:spacing w:before="120" w:after="120" w:line="360" w:lineRule="auto"/>
        <w:ind w:left="0" w:firstLine="567" w:firstLineChars="0"/>
        <w:rPr>
          <w:rFonts w:hint="eastAsia" w:ascii="宋体" w:hAnsi="宋体" w:eastAsia="宋体"/>
          <w:sz w:val="24"/>
        </w:rPr>
      </w:pPr>
      <w:r>
        <w:rPr>
          <w:rFonts w:ascii="宋体" w:hAnsi="宋体" w:eastAsia="宋体" w:cs="Arial"/>
          <w:b/>
          <w:sz w:val="24"/>
        </w:rPr>
        <w:t>资质商务技术文件与价格文件单独密封</w:t>
      </w:r>
      <w:r>
        <w:rPr>
          <w:rFonts w:ascii="宋体" w:hAnsi="宋体" w:eastAsia="宋体" w:cs="Arial"/>
          <w:sz w:val="24"/>
        </w:rPr>
        <w:t>，密封袋注明：项目名称、子包号</w:t>
      </w:r>
      <w:r>
        <w:rPr>
          <w:rFonts w:hint="eastAsia" w:ascii="宋体" w:hAnsi="宋体" w:eastAsia="宋体" w:cs="Arial"/>
          <w:sz w:val="24"/>
        </w:rPr>
        <w:t>（如有）</w:t>
      </w:r>
      <w:r>
        <w:rPr>
          <w:rFonts w:ascii="宋体" w:hAnsi="宋体" w:eastAsia="宋体" w:cs="Arial"/>
          <w:sz w:val="24"/>
        </w:rPr>
        <w:t>、供应商全称，边缝加盖骑缝章，并标注“遴选前不得启封”；</w:t>
      </w:r>
    </w:p>
    <w:p w14:paraId="03BE4950">
      <w:pPr>
        <w:pStyle w:val="10"/>
        <w:numPr>
          <w:ilvl w:val="0"/>
          <w:numId w:val="5"/>
        </w:numPr>
        <w:spacing w:before="120" w:after="120" w:line="360" w:lineRule="auto"/>
        <w:ind w:left="0" w:firstLine="567" w:firstLineChars="0"/>
        <w:rPr>
          <w:rFonts w:hint="eastAsia" w:ascii="宋体" w:hAnsi="宋体" w:eastAsia="宋体"/>
          <w:sz w:val="24"/>
        </w:rPr>
      </w:pPr>
      <w:r>
        <w:rPr>
          <w:rFonts w:ascii="宋体" w:hAnsi="宋体" w:eastAsia="宋体" w:cs="Arial"/>
          <w:sz w:val="24"/>
        </w:rPr>
        <w:t>按要求提交</w:t>
      </w:r>
      <w:r>
        <w:rPr>
          <w:rFonts w:ascii="宋体" w:hAnsi="宋体" w:eastAsia="宋体" w:cs="Arial"/>
          <w:b/>
          <w:sz w:val="24"/>
        </w:rPr>
        <w:t>投标样板</w:t>
      </w:r>
      <w:r>
        <w:rPr>
          <w:rFonts w:ascii="宋体" w:hAnsi="宋体" w:eastAsia="宋体" w:cs="Arial"/>
          <w:sz w:val="24"/>
        </w:rPr>
        <w:t>，</w:t>
      </w:r>
      <w:r>
        <w:rPr>
          <w:rFonts w:hint="eastAsia" w:ascii="宋体" w:hAnsi="宋体" w:eastAsia="宋体" w:cs="Arial"/>
          <w:sz w:val="24"/>
        </w:rPr>
        <w:t>附件7报价清单每个品种（包括常规包装和真空包装）送样数量：真空包装2个、常规包装1个，其中常规包装要注明品种名称</w:t>
      </w:r>
      <w:r>
        <w:rPr>
          <w:rFonts w:ascii="宋体" w:hAnsi="宋体" w:eastAsia="宋体" w:cs="Arial"/>
          <w:sz w:val="24"/>
        </w:rPr>
        <w:t>、规格、供应商名称，与响应文件同时递交。</w:t>
      </w:r>
    </w:p>
    <w:p w14:paraId="360F36F6">
      <w:pPr>
        <w:pStyle w:val="10"/>
        <w:numPr>
          <w:ilvl w:val="0"/>
          <w:numId w:val="1"/>
        </w:numPr>
        <w:spacing w:before="320" w:after="120" w:line="360" w:lineRule="auto"/>
        <w:ind w:left="0" w:firstLine="482"/>
        <w:outlineLvl w:val="1"/>
        <w:rPr>
          <w:rFonts w:hint="eastAsia" w:ascii="宋体" w:hAnsi="宋体" w:eastAsia="宋体" w:cs="Arial"/>
          <w:b/>
          <w:sz w:val="24"/>
        </w:rPr>
      </w:pPr>
      <w:bookmarkStart w:id="7" w:name="heading_9"/>
      <w:r>
        <w:rPr>
          <w:rFonts w:hint="eastAsia" w:ascii="宋体" w:hAnsi="宋体" w:eastAsia="宋体" w:cs="Arial"/>
          <w:b/>
          <w:sz w:val="24"/>
        </w:rPr>
        <w:t>中选候选人推荐：</w:t>
      </w:r>
    </w:p>
    <w:p w14:paraId="00BC5E5A">
      <w:pPr>
        <w:spacing w:before="120" w:after="120" w:line="360" w:lineRule="auto"/>
        <w:ind w:firstLine="480" w:firstLineChars="200"/>
        <w:rPr>
          <w:rFonts w:hint="eastAsia" w:ascii="宋体" w:hAnsi="宋体" w:eastAsia="宋体" w:cs="Arial"/>
          <w:bCs/>
          <w:sz w:val="24"/>
        </w:rPr>
      </w:pPr>
      <w:r>
        <w:rPr>
          <w:rFonts w:hint="eastAsia" w:ascii="宋体" w:hAnsi="宋体" w:eastAsia="宋体" w:cs="Arial"/>
          <w:bCs/>
          <w:sz w:val="24"/>
        </w:rPr>
        <w:t>按供应商的综合总得分由高到低顺序排列，</w:t>
      </w:r>
      <w:r>
        <w:rPr>
          <w:rFonts w:hint="eastAsia" w:ascii="宋体" w:hAnsi="宋体" w:eastAsia="宋体" w:cs="Arial"/>
          <w:b/>
          <w:sz w:val="24"/>
        </w:rPr>
        <w:t>推荐综合得分排名第一供应商为中选候选人，推荐综合得分排名第二供应商为第二中选候选人（备选人），若通过符合性审查的供应商不足3名时为采购失败</w:t>
      </w:r>
      <w:r>
        <w:rPr>
          <w:rFonts w:hint="eastAsia" w:ascii="宋体" w:hAnsi="宋体" w:eastAsia="宋体" w:cs="Arial"/>
          <w:bCs/>
          <w:sz w:val="24"/>
        </w:rPr>
        <w:t>。采购方分析采购失败原因，修正采购方案，报有关管理部门核准后，重新组织采购。</w:t>
      </w:r>
    </w:p>
    <w:p w14:paraId="557C5426">
      <w:pPr>
        <w:pStyle w:val="10"/>
        <w:numPr>
          <w:ilvl w:val="0"/>
          <w:numId w:val="1"/>
        </w:numPr>
        <w:spacing w:before="320" w:after="120" w:line="360" w:lineRule="auto"/>
        <w:ind w:left="0" w:firstLine="482"/>
        <w:outlineLvl w:val="1"/>
        <w:rPr>
          <w:rFonts w:hint="eastAsia" w:ascii="宋体" w:hAnsi="宋体" w:eastAsia="宋体" w:cs="Arial"/>
          <w:b/>
          <w:sz w:val="24"/>
        </w:rPr>
      </w:pPr>
      <w:r>
        <w:rPr>
          <w:rFonts w:ascii="宋体" w:hAnsi="宋体" w:eastAsia="宋体" w:cs="Arial"/>
          <w:b/>
          <w:sz w:val="24"/>
        </w:rPr>
        <w:t>纪检监察及联系方式</w:t>
      </w:r>
      <w:bookmarkEnd w:id="7"/>
    </w:p>
    <w:p w14:paraId="1DB50B27">
      <w:pPr>
        <w:numPr>
          <w:ilvl w:val="0"/>
          <w:numId w:val="6"/>
        </w:numPr>
        <w:spacing w:before="120" w:after="120" w:line="360" w:lineRule="auto"/>
        <w:ind w:firstLine="480" w:firstLineChars="200"/>
        <w:rPr>
          <w:rFonts w:hint="eastAsia" w:ascii="宋体" w:hAnsi="宋体" w:eastAsia="宋体"/>
          <w:sz w:val="24"/>
        </w:rPr>
      </w:pPr>
      <w:r>
        <w:rPr>
          <w:rFonts w:ascii="宋体" w:hAnsi="宋体" w:eastAsia="宋体" w:cs="Arial"/>
          <w:sz w:val="24"/>
        </w:rPr>
        <w:t>纪检监察电话：020-84115282；</w:t>
      </w:r>
    </w:p>
    <w:p w14:paraId="457991D6">
      <w:pPr>
        <w:numPr>
          <w:ilvl w:val="0"/>
          <w:numId w:val="6"/>
        </w:numPr>
        <w:spacing w:before="120" w:after="120" w:line="360" w:lineRule="auto"/>
        <w:ind w:firstLine="480" w:firstLineChars="200"/>
        <w:rPr>
          <w:rFonts w:hint="eastAsia" w:ascii="宋体" w:hAnsi="宋体" w:eastAsia="宋体"/>
          <w:sz w:val="24"/>
        </w:rPr>
      </w:pPr>
      <w:r>
        <w:rPr>
          <w:rFonts w:ascii="宋体" w:hAnsi="宋体" w:eastAsia="宋体" w:cs="Arial"/>
          <w:sz w:val="24"/>
        </w:rPr>
        <w:t>举报邮箱：</w:t>
      </w:r>
      <w:r>
        <w:fldChar w:fldCharType="begin"/>
      </w:r>
      <w:r>
        <w:instrText xml:space="preserve"> HYPERLINK "mailto:mengxli@mail.sysu.edu.cn" \h </w:instrText>
      </w:r>
      <w:r>
        <w:fldChar w:fldCharType="separate"/>
      </w:r>
      <w:r>
        <w:rPr>
          <w:rFonts w:ascii="宋体" w:hAnsi="宋体" w:eastAsia="宋体" w:cs="Arial"/>
          <w:sz w:val="24"/>
        </w:rPr>
        <w:t>mengxli@mail.sysu.edu.cn</w:t>
      </w:r>
      <w:r>
        <w:rPr>
          <w:rFonts w:ascii="宋体" w:hAnsi="宋体" w:eastAsia="宋体" w:cs="Arial"/>
          <w:sz w:val="24"/>
        </w:rPr>
        <w:fldChar w:fldCharType="end"/>
      </w:r>
      <w:r>
        <w:rPr>
          <w:rFonts w:ascii="宋体" w:hAnsi="宋体" w:eastAsia="宋体" w:cs="Arial"/>
          <w:sz w:val="24"/>
        </w:rPr>
        <w:t>；</w:t>
      </w:r>
    </w:p>
    <w:p w14:paraId="63DCA132">
      <w:pPr>
        <w:widowControl/>
        <w:ind w:firstLine="480" w:firstLineChars="200"/>
        <w:rPr>
          <w:rFonts w:hint="eastAsia" w:ascii="宋体" w:hAnsi="宋体" w:eastAsia="宋体"/>
          <w:sz w:val="24"/>
        </w:rPr>
      </w:pPr>
      <w:bookmarkStart w:id="8" w:name="heading_10"/>
      <w:r>
        <w:rPr>
          <w:rFonts w:hint="eastAsia" w:ascii="宋体" w:hAnsi="宋体" w:eastAsia="宋体"/>
          <w:sz w:val="24"/>
        </w:rPr>
        <w:br w:type="page"/>
      </w:r>
    </w:p>
    <w:p w14:paraId="2220EEEE">
      <w:pPr>
        <w:spacing w:before="380" w:after="140" w:line="360" w:lineRule="auto"/>
        <w:ind w:firstLine="482" w:firstLineChars="200"/>
        <w:jc w:val="center"/>
        <w:outlineLvl w:val="0"/>
        <w:rPr>
          <w:rFonts w:hint="eastAsia" w:ascii="宋体" w:hAnsi="宋体" w:eastAsia="宋体"/>
          <w:sz w:val="24"/>
        </w:rPr>
      </w:pPr>
      <w:r>
        <w:rPr>
          <w:rFonts w:ascii="宋体" w:hAnsi="宋体" w:eastAsia="宋体" w:cs="Arial"/>
          <w:b/>
          <w:sz w:val="24"/>
        </w:rPr>
        <w:t>第二部分 采购需求</w:t>
      </w:r>
      <w:bookmarkEnd w:id="8"/>
    </w:p>
    <w:p w14:paraId="647AEC49">
      <w:pPr>
        <w:pStyle w:val="10"/>
        <w:numPr>
          <w:ilvl w:val="0"/>
          <w:numId w:val="7"/>
        </w:numPr>
        <w:spacing w:before="320" w:after="120" w:line="360" w:lineRule="auto"/>
        <w:ind w:firstLine="57" w:firstLineChars="0"/>
        <w:outlineLvl w:val="1"/>
        <w:rPr>
          <w:rFonts w:hint="eastAsia" w:ascii="宋体" w:hAnsi="宋体" w:eastAsia="宋体" w:cs="Arial"/>
          <w:b/>
          <w:sz w:val="24"/>
        </w:rPr>
      </w:pPr>
      <w:bookmarkStart w:id="9" w:name="heading_11"/>
      <w:r>
        <w:rPr>
          <w:rFonts w:ascii="宋体" w:hAnsi="宋体" w:eastAsia="宋体" w:cs="Arial"/>
          <w:b/>
          <w:sz w:val="24"/>
        </w:rPr>
        <w:t>总体要求</w:t>
      </w:r>
      <w:bookmarkEnd w:id="9"/>
    </w:p>
    <w:p w14:paraId="5AC7A5D4">
      <w:pPr>
        <w:numPr>
          <w:ilvl w:val="0"/>
          <w:numId w:val="8"/>
        </w:numPr>
        <w:spacing w:before="120" w:after="120" w:line="360" w:lineRule="auto"/>
        <w:ind w:firstLine="480" w:firstLineChars="200"/>
        <w:rPr>
          <w:rFonts w:hint="eastAsia" w:ascii="宋体" w:hAnsi="宋体" w:eastAsia="宋体"/>
          <w:sz w:val="24"/>
        </w:rPr>
      </w:pPr>
      <w:r>
        <w:rPr>
          <w:rFonts w:ascii="宋体" w:hAnsi="宋体" w:eastAsia="宋体" w:cs="Arial"/>
          <w:sz w:val="24"/>
        </w:rPr>
        <w:t>供应商提供的物资须符合《食品安全法》《农产品质量安全法》等国家食品安全相关标准；</w:t>
      </w:r>
      <w:r>
        <w:rPr>
          <w:rFonts w:hint="eastAsia" w:ascii="宋体" w:hAnsi="宋体" w:eastAsia="宋体" w:cs="Arial"/>
          <w:sz w:val="24"/>
        </w:rPr>
        <w:t>需有包装，包装上的品名、厂名厂址、生产日期、保质期、配料等应齐全、清晰</w:t>
      </w:r>
      <w:r>
        <w:rPr>
          <w:rFonts w:ascii="宋体" w:hAnsi="宋体" w:eastAsia="宋体" w:cs="Arial"/>
          <w:sz w:val="24"/>
        </w:rPr>
        <w:t>。</w:t>
      </w:r>
    </w:p>
    <w:p w14:paraId="383192C7">
      <w:pPr>
        <w:numPr>
          <w:ilvl w:val="0"/>
          <w:numId w:val="8"/>
        </w:numPr>
        <w:spacing w:before="120" w:after="120" w:line="360" w:lineRule="auto"/>
        <w:ind w:firstLine="480" w:firstLineChars="200"/>
        <w:rPr>
          <w:rFonts w:hint="eastAsia" w:ascii="宋体" w:hAnsi="宋体" w:eastAsia="宋体"/>
          <w:sz w:val="24"/>
        </w:rPr>
      </w:pPr>
      <w:r>
        <w:rPr>
          <w:rFonts w:hint="eastAsia" w:ascii="宋体" w:hAnsi="宋体" w:eastAsia="宋体" w:cs="Arial"/>
          <w:sz w:val="24"/>
        </w:rPr>
        <w:t>供应商须对所投产品、方案、技术、服务等拥有合法的占有和处置权。在法律范围内，如果出现文字、图片、商标和技术等侵权行为而造成的纠纷和产生的一切费用，采购方概不负责，由此给采购方造成损失的，供应商应承担相应后果，并负责赔偿。供应商为执行本项目合同而提供的技术资料等归采购方所有</w:t>
      </w:r>
      <w:r>
        <w:rPr>
          <w:rFonts w:ascii="宋体" w:hAnsi="宋体" w:eastAsia="宋体" w:cs="Arial"/>
          <w:sz w:val="24"/>
        </w:rPr>
        <w:t>。</w:t>
      </w:r>
    </w:p>
    <w:p w14:paraId="60D8B12F">
      <w:pPr>
        <w:numPr>
          <w:ilvl w:val="0"/>
          <w:numId w:val="8"/>
        </w:numPr>
        <w:spacing w:before="120" w:after="120" w:line="360" w:lineRule="auto"/>
        <w:ind w:firstLine="480" w:firstLineChars="200"/>
        <w:rPr>
          <w:rFonts w:hint="eastAsia" w:ascii="宋体" w:hAnsi="宋体" w:eastAsia="宋体"/>
          <w:sz w:val="24"/>
        </w:rPr>
      </w:pPr>
      <w:r>
        <w:rPr>
          <w:rFonts w:ascii="宋体" w:hAnsi="宋体" w:eastAsia="宋体" w:cs="Arial"/>
          <w:sz w:val="24"/>
        </w:rPr>
        <w:t>采购方以微信/QQ/电话下达订单（含物资名称、规格、数量、配送时间、送达地点），供应商须在接单后30分钟内确认，无正当理由不得拒绝订单。</w:t>
      </w:r>
    </w:p>
    <w:p w14:paraId="7412508E">
      <w:pPr>
        <w:numPr>
          <w:ilvl w:val="0"/>
          <w:numId w:val="8"/>
        </w:numPr>
        <w:spacing w:before="120" w:after="120" w:line="360" w:lineRule="auto"/>
        <w:ind w:firstLine="480" w:firstLineChars="200"/>
        <w:rPr>
          <w:rFonts w:hint="eastAsia" w:ascii="宋体" w:hAnsi="宋体" w:eastAsia="宋体"/>
          <w:sz w:val="24"/>
        </w:rPr>
      </w:pPr>
      <w:r>
        <w:rPr>
          <w:rFonts w:ascii="宋体" w:hAnsi="宋体" w:eastAsia="宋体" w:cs="Arial"/>
          <w:sz w:val="24"/>
        </w:rPr>
        <w:t>物资单价为</w:t>
      </w:r>
      <w:r>
        <w:rPr>
          <w:rFonts w:ascii="宋体" w:hAnsi="宋体" w:eastAsia="宋体" w:cs="Arial"/>
          <w:b/>
          <w:sz w:val="24"/>
        </w:rPr>
        <w:t>综合包干价</w:t>
      </w:r>
      <w:r>
        <w:rPr>
          <w:rFonts w:ascii="宋体" w:hAnsi="宋体" w:eastAsia="宋体" w:cs="Arial"/>
          <w:sz w:val="24"/>
        </w:rPr>
        <w:t>，包含原材料费、包装费、仓储费、运输费、装卸费、损耗费、税金、配送服务费等一切费用，采购方不另行支付；合同履行期间，除市场物价涨幅超</w:t>
      </w:r>
      <w:r>
        <w:rPr>
          <w:rFonts w:hint="eastAsia" w:ascii="宋体" w:hAnsi="宋体" w:eastAsia="宋体" w:cs="Arial"/>
          <w:sz w:val="24"/>
        </w:rPr>
        <w:t>10</w:t>
      </w:r>
      <w:r>
        <w:rPr>
          <w:rFonts w:ascii="宋体" w:hAnsi="宋体" w:eastAsia="宋体" w:cs="Arial"/>
          <w:sz w:val="24"/>
        </w:rPr>
        <w:t>%并经双方书面确认外，单价不予调整。</w:t>
      </w:r>
    </w:p>
    <w:p w14:paraId="7DA95AC8">
      <w:pPr>
        <w:numPr>
          <w:ilvl w:val="0"/>
          <w:numId w:val="8"/>
        </w:numPr>
        <w:spacing w:before="120" w:after="120" w:line="360" w:lineRule="auto"/>
        <w:ind w:firstLine="480" w:firstLineChars="200"/>
        <w:rPr>
          <w:rFonts w:hint="eastAsia" w:ascii="宋体" w:hAnsi="宋体" w:eastAsia="宋体"/>
          <w:sz w:val="24"/>
        </w:rPr>
      </w:pPr>
      <w:r>
        <w:rPr>
          <w:rFonts w:ascii="宋体" w:hAnsi="宋体" w:eastAsia="宋体" w:cs="Arial"/>
          <w:sz w:val="24"/>
        </w:rPr>
        <w:t>供应商须提供</w:t>
      </w:r>
      <w:r>
        <w:rPr>
          <w:rFonts w:ascii="宋体" w:hAnsi="宋体" w:eastAsia="宋体" w:cs="Arial"/>
          <w:b/>
          <w:sz w:val="24"/>
        </w:rPr>
        <w:t>正规增值税发票</w:t>
      </w:r>
      <w:r>
        <w:rPr>
          <w:rFonts w:ascii="宋体" w:hAnsi="宋体" w:eastAsia="宋体" w:cs="Arial"/>
          <w:sz w:val="24"/>
        </w:rPr>
        <w:t>，发票信息与采购方要求一致，作为货款结算依据。</w:t>
      </w:r>
    </w:p>
    <w:p w14:paraId="650CACF4">
      <w:pPr>
        <w:pStyle w:val="10"/>
        <w:numPr>
          <w:ilvl w:val="0"/>
          <w:numId w:val="7"/>
        </w:numPr>
        <w:spacing w:before="320" w:after="120" w:line="360" w:lineRule="auto"/>
        <w:ind w:firstLine="57" w:firstLineChars="0"/>
        <w:outlineLvl w:val="1"/>
        <w:rPr>
          <w:rFonts w:hint="eastAsia" w:ascii="宋体" w:hAnsi="宋体" w:eastAsia="宋体" w:cs="Arial"/>
          <w:b/>
          <w:sz w:val="24"/>
        </w:rPr>
      </w:pPr>
      <w:bookmarkStart w:id="10" w:name="heading_12"/>
      <w:r>
        <w:rPr>
          <w:rFonts w:ascii="宋体" w:hAnsi="宋体" w:eastAsia="宋体" w:cs="Arial"/>
          <w:b/>
          <w:sz w:val="24"/>
        </w:rPr>
        <w:t>采购明细</w:t>
      </w:r>
      <w:bookmarkEnd w:id="10"/>
    </w:p>
    <w:tbl>
      <w:tblPr>
        <w:tblStyle w:val="6"/>
        <w:tblW w:w="10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441"/>
        <w:gridCol w:w="1134"/>
        <w:gridCol w:w="1330"/>
        <w:gridCol w:w="2127"/>
        <w:gridCol w:w="1417"/>
        <w:gridCol w:w="1139"/>
        <w:gridCol w:w="1280"/>
      </w:tblGrid>
      <w:tr w14:paraId="079B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5" w:hRule="atLeast"/>
          <w:jc w:val="center"/>
        </w:trPr>
        <w:tc>
          <w:tcPr>
            <w:tcW w:w="681" w:type="dxa"/>
            <w:noWrap/>
            <w:vAlign w:val="center"/>
          </w:tcPr>
          <w:p w14:paraId="3254080C">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序号</w:t>
            </w:r>
          </w:p>
        </w:tc>
        <w:tc>
          <w:tcPr>
            <w:tcW w:w="1441" w:type="dxa"/>
            <w:noWrap/>
            <w:vAlign w:val="center"/>
          </w:tcPr>
          <w:p w14:paraId="5CC5946A">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品名</w:t>
            </w:r>
          </w:p>
        </w:tc>
        <w:tc>
          <w:tcPr>
            <w:tcW w:w="1134" w:type="dxa"/>
            <w:vAlign w:val="center"/>
          </w:tcPr>
          <w:p w14:paraId="22DBA178">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包装形式</w:t>
            </w:r>
          </w:p>
        </w:tc>
        <w:tc>
          <w:tcPr>
            <w:tcW w:w="1330" w:type="dxa"/>
            <w:vAlign w:val="center"/>
          </w:tcPr>
          <w:p w14:paraId="5ECE2ED7">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主要配料</w:t>
            </w:r>
          </w:p>
        </w:tc>
        <w:tc>
          <w:tcPr>
            <w:tcW w:w="2127" w:type="dxa"/>
            <w:vAlign w:val="center"/>
          </w:tcPr>
          <w:p w14:paraId="26E7DB6D">
            <w:pPr>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材料含量参考</w:t>
            </w:r>
          </w:p>
        </w:tc>
        <w:tc>
          <w:tcPr>
            <w:tcW w:w="1417" w:type="dxa"/>
            <w:tcBorders>
              <w:top w:val="single" w:color="auto" w:sz="4" w:space="0"/>
              <w:bottom w:val="single" w:color="auto" w:sz="4" w:space="0"/>
              <w:right w:val="single" w:color="auto" w:sz="4" w:space="0"/>
            </w:tcBorders>
            <w:vAlign w:val="center"/>
          </w:tcPr>
          <w:p w14:paraId="27D9BEF7">
            <w:pPr>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规格（g）</w:t>
            </w:r>
          </w:p>
        </w:tc>
        <w:tc>
          <w:tcPr>
            <w:tcW w:w="1139" w:type="dxa"/>
            <w:tcBorders>
              <w:top w:val="single" w:color="auto" w:sz="4" w:space="0"/>
              <w:left w:val="single" w:color="auto" w:sz="4" w:space="0"/>
              <w:bottom w:val="single" w:color="auto" w:sz="4" w:space="0"/>
              <w:right w:val="single" w:color="auto" w:sz="4" w:space="0"/>
            </w:tcBorders>
            <w:vAlign w:val="center"/>
          </w:tcPr>
          <w:p w14:paraId="677FBF74">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szCs w:val="22"/>
                <w14:ligatures w14:val="none"/>
              </w:rPr>
              <w:t>中大预估数量（只）</w:t>
            </w:r>
          </w:p>
        </w:tc>
        <w:tc>
          <w:tcPr>
            <w:tcW w:w="1280" w:type="dxa"/>
            <w:vAlign w:val="center"/>
          </w:tcPr>
          <w:p w14:paraId="2AE0A80C">
            <w:pPr>
              <w:widowControl/>
              <w:spacing w:after="0" w:line="240" w:lineRule="exact"/>
              <w:jc w:val="center"/>
              <w:rPr>
                <w:rFonts w:hint="eastAsia" w:ascii="宋体" w:hAnsi="宋体" w:eastAsia="宋体" w:cs="宋体"/>
                <w:b/>
                <w:bCs/>
                <w:color w:val="000000"/>
                <w:szCs w:val="22"/>
                <w14:ligatures w14:val="none"/>
              </w:rPr>
            </w:pPr>
            <w:r>
              <w:rPr>
                <w:rFonts w:hint="eastAsia" w:ascii="宋体" w:hAnsi="宋体" w:eastAsia="宋体" w:cs="宋体"/>
                <w:b/>
                <w:bCs/>
                <w:color w:val="000000"/>
                <w:szCs w:val="22"/>
                <w14:ligatures w14:val="none"/>
              </w:rPr>
              <w:t>康乐园预估数量（只）</w:t>
            </w:r>
          </w:p>
        </w:tc>
      </w:tr>
      <w:tr w14:paraId="53D3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noWrap/>
            <w:vAlign w:val="center"/>
          </w:tcPr>
          <w:p w14:paraId="791DBBB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w:t>
            </w:r>
          </w:p>
        </w:tc>
        <w:tc>
          <w:tcPr>
            <w:tcW w:w="1441" w:type="dxa"/>
            <w:tcBorders>
              <w:top w:val="single" w:color="auto" w:sz="4" w:space="0"/>
              <w:left w:val="single" w:color="auto" w:sz="4" w:space="0"/>
              <w:bottom w:val="single" w:color="auto" w:sz="4" w:space="0"/>
              <w:right w:val="single" w:color="auto" w:sz="4" w:space="0"/>
            </w:tcBorders>
            <w:noWrap/>
            <w:vAlign w:val="center"/>
          </w:tcPr>
          <w:p w14:paraId="04B7570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传统咸肉粽</w:t>
            </w:r>
          </w:p>
        </w:tc>
        <w:tc>
          <w:tcPr>
            <w:tcW w:w="1134" w:type="dxa"/>
            <w:tcBorders>
              <w:top w:val="single" w:color="auto" w:sz="4" w:space="0"/>
              <w:left w:val="nil"/>
              <w:bottom w:val="single" w:color="auto" w:sz="4" w:space="0"/>
              <w:right w:val="single" w:color="auto" w:sz="4" w:space="0"/>
            </w:tcBorders>
            <w:vAlign w:val="center"/>
          </w:tcPr>
          <w:p w14:paraId="0892E25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330" w:type="dxa"/>
            <w:vMerge w:val="restart"/>
            <w:tcBorders>
              <w:top w:val="single" w:color="auto" w:sz="4" w:space="0"/>
              <w:left w:val="single" w:color="auto" w:sz="4" w:space="0"/>
              <w:right w:val="single" w:color="auto" w:sz="4" w:space="0"/>
            </w:tcBorders>
            <w:vAlign w:val="center"/>
          </w:tcPr>
          <w:p w14:paraId="0601F6E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白糯米、猪肉、绿豆</w:t>
            </w:r>
          </w:p>
        </w:tc>
        <w:tc>
          <w:tcPr>
            <w:tcW w:w="2127" w:type="dxa"/>
            <w:vMerge w:val="restart"/>
            <w:tcBorders>
              <w:top w:val="single" w:color="auto" w:sz="4" w:space="0"/>
              <w:left w:val="nil"/>
              <w:right w:val="single" w:color="auto" w:sz="4" w:space="0"/>
            </w:tcBorders>
            <w:vAlign w:val="center"/>
          </w:tcPr>
          <w:p w14:paraId="146ABB5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1、猪肉：</w:t>
            </w:r>
          </w:p>
          <w:p w14:paraId="5DA1B8E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脊膘不少于15g；</w:t>
            </w:r>
          </w:p>
          <w:p w14:paraId="203EFD3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后腿肉不少于15g；</w:t>
            </w:r>
          </w:p>
          <w:p w14:paraId="2B83E5A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2、绿豆≥12g。</w:t>
            </w:r>
          </w:p>
        </w:tc>
        <w:tc>
          <w:tcPr>
            <w:tcW w:w="1417" w:type="dxa"/>
            <w:tcBorders>
              <w:top w:val="single" w:color="auto" w:sz="4" w:space="0"/>
              <w:left w:val="single" w:color="auto" w:sz="4" w:space="0"/>
              <w:bottom w:val="single" w:color="auto" w:sz="4" w:space="0"/>
              <w:right w:val="single" w:color="auto" w:sz="4" w:space="0"/>
            </w:tcBorders>
            <w:vAlign w:val="center"/>
          </w:tcPr>
          <w:p w14:paraId="7E0E92A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101E1AF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vAlign w:val="center"/>
          </w:tcPr>
          <w:p w14:paraId="6DFC6198">
            <w:pPr>
              <w:widowControl/>
              <w:spacing w:after="0" w:line="240" w:lineRule="exact"/>
              <w:jc w:val="center"/>
              <w:rPr>
                <w:rFonts w:hint="eastAsia" w:ascii="宋体" w:hAnsi="宋体" w:eastAsia="宋体" w:cs="宋体"/>
                <w:color w:val="000000"/>
                <w:kern w:val="0"/>
                <w:szCs w:val="22"/>
                <w14:ligatures w14:val="none"/>
              </w:rPr>
            </w:pPr>
            <w:r>
              <w:rPr>
                <w:rFonts w:hint="eastAsia"/>
              </w:rPr>
              <w:t>13000</w:t>
            </w:r>
          </w:p>
        </w:tc>
        <w:tc>
          <w:tcPr>
            <w:tcW w:w="1280" w:type="dxa"/>
            <w:vAlign w:val="center"/>
          </w:tcPr>
          <w:p w14:paraId="0639007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szCs w:val="22"/>
                <w14:ligatures w14:val="none"/>
              </w:rPr>
              <w:t>600</w:t>
            </w:r>
          </w:p>
        </w:tc>
      </w:tr>
      <w:tr w14:paraId="4DA7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noWrap/>
            <w:vAlign w:val="center"/>
          </w:tcPr>
          <w:p w14:paraId="64E2953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w:t>
            </w:r>
          </w:p>
        </w:tc>
        <w:tc>
          <w:tcPr>
            <w:tcW w:w="1441" w:type="dxa"/>
            <w:tcBorders>
              <w:top w:val="nil"/>
              <w:left w:val="single" w:color="auto" w:sz="4" w:space="0"/>
              <w:bottom w:val="single" w:color="auto" w:sz="4" w:space="0"/>
              <w:right w:val="single" w:color="auto" w:sz="4" w:space="0"/>
            </w:tcBorders>
            <w:noWrap/>
            <w:vAlign w:val="center"/>
          </w:tcPr>
          <w:p w14:paraId="6382EAB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传统咸肉粽</w:t>
            </w:r>
          </w:p>
        </w:tc>
        <w:tc>
          <w:tcPr>
            <w:tcW w:w="1134" w:type="dxa"/>
            <w:tcBorders>
              <w:top w:val="nil"/>
              <w:left w:val="nil"/>
              <w:bottom w:val="single" w:color="auto" w:sz="4" w:space="0"/>
              <w:right w:val="single" w:color="auto" w:sz="4" w:space="0"/>
            </w:tcBorders>
            <w:vAlign w:val="center"/>
          </w:tcPr>
          <w:p w14:paraId="307468B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330" w:type="dxa"/>
            <w:vMerge w:val="continue"/>
            <w:tcBorders>
              <w:left w:val="single" w:color="auto" w:sz="4" w:space="0"/>
              <w:bottom w:val="single" w:color="auto" w:sz="4" w:space="0"/>
              <w:right w:val="single" w:color="auto" w:sz="4" w:space="0"/>
            </w:tcBorders>
            <w:vAlign w:val="center"/>
          </w:tcPr>
          <w:p w14:paraId="7CE231AF">
            <w:pPr>
              <w:widowControl/>
              <w:spacing w:after="0" w:line="240" w:lineRule="exact"/>
              <w:jc w:val="center"/>
              <w:rPr>
                <w:rFonts w:hint="eastAsia" w:ascii="宋体" w:hAnsi="宋体" w:eastAsia="宋体" w:cs="宋体"/>
                <w:color w:val="000000"/>
                <w:kern w:val="0"/>
                <w:szCs w:val="22"/>
                <w14:ligatures w14:val="none"/>
              </w:rPr>
            </w:pPr>
          </w:p>
        </w:tc>
        <w:tc>
          <w:tcPr>
            <w:tcW w:w="2127" w:type="dxa"/>
            <w:vMerge w:val="continue"/>
            <w:tcBorders>
              <w:left w:val="nil"/>
              <w:bottom w:val="single" w:color="auto" w:sz="4" w:space="0"/>
              <w:right w:val="single" w:color="auto" w:sz="4" w:space="0"/>
            </w:tcBorders>
            <w:vAlign w:val="center"/>
          </w:tcPr>
          <w:p w14:paraId="0C98F46C">
            <w:pPr>
              <w:widowControl/>
              <w:spacing w:after="0" w:line="240" w:lineRule="exact"/>
              <w:jc w:val="center"/>
              <w:rPr>
                <w:rFonts w:hint="eastAsia" w:ascii="宋体" w:hAnsi="宋体" w:eastAsia="宋体" w:cs="宋体"/>
                <w:color w:val="000000"/>
                <w:kern w:val="0"/>
                <w:szCs w:val="22"/>
                <w14:ligatures w14: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E591C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1C1732A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vAlign w:val="center"/>
          </w:tcPr>
          <w:p w14:paraId="40FEE797">
            <w:pPr>
              <w:widowControl/>
              <w:spacing w:after="0" w:line="240" w:lineRule="exact"/>
              <w:jc w:val="center"/>
              <w:rPr>
                <w:rFonts w:hint="eastAsia" w:ascii="宋体" w:hAnsi="宋体" w:eastAsia="宋体" w:cs="宋体"/>
                <w:color w:val="000000"/>
                <w:kern w:val="0"/>
                <w:szCs w:val="22"/>
                <w14:ligatures w14:val="none"/>
              </w:rPr>
            </w:pPr>
            <w:r>
              <w:rPr>
                <w:rFonts w:hint="eastAsia"/>
              </w:rPr>
              <w:t>13000</w:t>
            </w:r>
          </w:p>
        </w:tc>
        <w:tc>
          <w:tcPr>
            <w:tcW w:w="1280" w:type="dxa"/>
            <w:vAlign w:val="center"/>
          </w:tcPr>
          <w:p w14:paraId="0E076B2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szCs w:val="22"/>
                <w14:ligatures w14:val="none"/>
              </w:rPr>
              <w:t>300</w:t>
            </w:r>
          </w:p>
        </w:tc>
      </w:tr>
      <w:tr w14:paraId="49B9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noWrap/>
            <w:vAlign w:val="center"/>
          </w:tcPr>
          <w:p w14:paraId="1B9A01A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w:t>
            </w:r>
          </w:p>
        </w:tc>
        <w:tc>
          <w:tcPr>
            <w:tcW w:w="1441" w:type="dxa"/>
            <w:tcBorders>
              <w:top w:val="nil"/>
              <w:left w:val="single" w:color="auto" w:sz="4" w:space="0"/>
              <w:bottom w:val="single" w:color="auto" w:sz="4" w:space="0"/>
              <w:right w:val="single" w:color="auto" w:sz="4" w:space="0"/>
            </w:tcBorders>
            <w:noWrap/>
            <w:vAlign w:val="center"/>
          </w:tcPr>
          <w:p w14:paraId="7E3E26E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蛋黄咸肉粽</w:t>
            </w:r>
          </w:p>
        </w:tc>
        <w:tc>
          <w:tcPr>
            <w:tcW w:w="1134" w:type="dxa"/>
            <w:tcBorders>
              <w:top w:val="nil"/>
              <w:left w:val="nil"/>
              <w:bottom w:val="single" w:color="auto" w:sz="4" w:space="0"/>
              <w:right w:val="single" w:color="auto" w:sz="4" w:space="0"/>
            </w:tcBorders>
            <w:vAlign w:val="center"/>
          </w:tcPr>
          <w:p w14:paraId="31665CF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330" w:type="dxa"/>
            <w:vMerge w:val="restart"/>
            <w:tcBorders>
              <w:top w:val="nil"/>
              <w:left w:val="single" w:color="auto" w:sz="4" w:space="0"/>
              <w:right w:val="single" w:color="auto" w:sz="4" w:space="0"/>
            </w:tcBorders>
            <w:vAlign w:val="center"/>
          </w:tcPr>
          <w:p w14:paraId="3F08E6F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白糯米、猪肉、绿豆、咸鸭蛋黄</w:t>
            </w:r>
          </w:p>
        </w:tc>
        <w:tc>
          <w:tcPr>
            <w:tcW w:w="2127" w:type="dxa"/>
            <w:vMerge w:val="restart"/>
            <w:tcBorders>
              <w:top w:val="single" w:color="auto" w:sz="4" w:space="0"/>
              <w:left w:val="nil"/>
              <w:right w:val="single" w:color="auto" w:sz="4" w:space="0"/>
            </w:tcBorders>
            <w:vAlign w:val="center"/>
          </w:tcPr>
          <w:p w14:paraId="539161E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 xml:space="preserve">1、猪肉：脊膘不少于15g；后腿肉不少于15g； </w:t>
            </w:r>
          </w:p>
          <w:p w14:paraId="0B65C26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2、咸鸭蛋黄（整个1开2） ≥12克；</w:t>
            </w:r>
          </w:p>
          <w:p w14:paraId="59DF709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3、绿豆≥12g。</w:t>
            </w:r>
          </w:p>
        </w:tc>
        <w:tc>
          <w:tcPr>
            <w:tcW w:w="1417" w:type="dxa"/>
            <w:tcBorders>
              <w:top w:val="single" w:color="auto" w:sz="4" w:space="0"/>
              <w:left w:val="single" w:color="auto" w:sz="4" w:space="0"/>
              <w:bottom w:val="single" w:color="auto" w:sz="4" w:space="0"/>
              <w:right w:val="single" w:color="auto" w:sz="4" w:space="0"/>
            </w:tcBorders>
            <w:vAlign w:val="center"/>
          </w:tcPr>
          <w:p w14:paraId="6BEFFB4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7088584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39B00C63">
            <w:pPr>
              <w:widowControl/>
              <w:spacing w:after="0" w:line="240" w:lineRule="exact"/>
              <w:jc w:val="center"/>
              <w:rPr>
                <w:rFonts w:hint="eastAsia" w:ascii="宋体" w:hAnsi="宋体" w:eastAsia="宋体" w:cs="宋体"/>
                <w:color w:val="000000"/>
                <w:kern w:val="0"/>
                <w:szCs w:val="22"/>
                <w14:ligatures w14:val="none"/>
              </w:rPr>
            </w:pPr>
            <w:r>
              <w:rPr>
                <w:rFonts w:hint="eastAsia"/>
              </w:rPr>
              <w:t>12000</w:t>
            </w:r>
          </w:p>
        </w:tc>
        <w:tc>
          <w:tcPr>
            <w:tcW w:w="1280" w:type="dxa"/>
            <w:vAlign w:val="center"/>
          </w:tcPr>
          <w:p w14:paraId="31D8156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szCs w:val="22"/>
                <w14:ligatures w14:val="none"/>
              </w:rPr>
              <w:t>600</w:t>
            </w:r>
          </w:p>
        </w:tc>
      </w:tr>
      <w:tr w14:paraId="73DC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noWrap/>
            <w:vAlign w:val="center"/>
          </w:tcPr>
          <w:p w14:paraId="7113D99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4</w:t>
            </w:r>
          </w:p>
        </w:tc>
        <w:tc>
          <w:tcPr>
            <w:tcW w:w="1441" w:type="dxa"/>
            <w:tcBorders>
              <w:top w:val="nil"/>
              <w:left w:val="single" w:color="auto" w:sz="4" w:space="0"/>
              <w:bottom w:val="single" w:color="auto" w:sz="4" w:space="0"/>
              <w:right w:val="single" w:color="auto" w:sz="4" w:space="0"/>
            </w:tcBorders>
            <w:noWrap/>
            <w:vAlign w:val="center"/>
          </w:tcPr>
          <w:p w14:paraId="2190809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蛋黄咸肉粽</w:t>
            </w:r>
          </w:p>
        </w:tc>
        <w:tc>
          <w:tcPr>
            <w:tcW w:w="1134" w:type="dxa"/>
            <w:tcBorders>
              <w:top w:val="nil"/>
              <w:left w:val="nil"/>
              <w:bottom w:val="single" w:color="auto" w:sz="4" w:space="0"/>
              <w:right w:val="single" w:color="auto" w:sz="4" w:space="0"/>
            </w:tcBorders>
            <w:vAlign w:val="center"/>
          </w:tcPr>
          <w:p w14:paraId="3FA1831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330" w:type="dxa"/>
            <w:vMerge w:val="continue"/>
            <w:tcBorders>
              <w:left w:val="single" w:color="auto" w:sz="4" w:space="0"/>
              <w:bottom w:val="single" w:color="auto" w:sz="4" w:space="0"/>
              <w:right w:val="single" w:color="auto" w:sz="4" w:space="0"/>
            </w:tcBorders>
            <w:vAlign w:val="center"/>
          </w:tcPr>
          <w:p w14:paraId="322F9EBE">
            <w:pPr>
              <w:widowControl/>
              <w:spacing w:after="0" w:line="240" w:lineRule="exact"/>
              <w:jc w:val="center"/>
              <w:rPr>
                <w:rFonts w:hint="eastAsia" w:ascii="宋体" w:hAnsi="宋体" w:eastAsia="宋体" w:cs="宋体"/>
                <w:color w:val="000000"/>
                <w:kern w:val="0"/>
                <w:szCs w:val="22"/>
                <w14:ligatures w14:val="none"/>
              </w:rPr>
            </w:pPr>
          </w:p>
        </w:tc>
        <w:tc>
          <w:tcPr>
            <w:tcW w:w="2127" w:type="dxa"/>
            <w:vMerge w:val="continue"/>
            <w:tcBorders>
              <w:left w:val="nil"/>
              <w:bottom w:val="single" w:color="auto" w:sz="4" w:space="0"/>
              <w:right w:val="single" w:color="auto" w:sz="4" w:space="0"/>
            </w:tcBorders>
            <w:vAlign w:val="center"/>
          </w:tcPr>
          <w:p w14:paraId="67E9A322">
            <w:pPr>
              <w:widowControl/>
              <w:spacing w:after="0" w:line="240" w:lineRule="exact"/>
              <w:jc w:val="center"/>
              <w:rPr>
                <w:rFonts w:hint="eastAsia" w:ascii="宋体" w:hAnsi="宋体" w:eastAsia="宋体" w:cs="宋体"/>
                <w:color w:val="000000"/>
                <w:kern w:val="0"/>
                <w:szCs w:val="22"/>
                <w14:ligatures w14: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242D7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4BF0E71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nil"/>
              <w:left w:val="single" w:color="auto" w:sz="4" w:space="0"/>
              <w:bottom w:val="single" w:color="auto" w:sz="4" w:space="0"/>
              <w:right w:val="single" w:color="auto" w:sz="4" w:space="0"/>
            </w:tcBorders>
            <w:shd w:val="clear" w:color="000000" w:fill="FFFFFF"/>
            <w:vAlign w:val="center"/>
          </w:tcPr>
          <w:p w14:paraId="73DEA51D">
            <w:pPr>
              <w:widowControl/>
              <w:spacing w:after="0" w:line="240" w:lineRule="exact"/>
              <w:jc w:val="center"/>
              <w:rPr>
                <w:rFonts w:hint="eastAsia" w:ascii="宋体" w:hAnsi="宋体" w:eastAsia="宋体" w:cs="宋体"/>
                <w:color w:val="000000"/>
                <w:kern w:val="0"/>
                <w:szCs w:val="22"/>
                <w14:ligatures w14:val="none"/>
              </w:rPr>
            </w:pPr>
            <w:r>
              <w:rPr>
                <w:rFonts w:hint="eastAsia"/>
              </w:rPr>
              <w:t>12000</w:t>
            </w:r>
          </w:p>
        </w:tc>
        <w:tc>
          <w:tcPr>
            <w:tcW w:w="1280" w:type="dxa"/>
            <w:vAlign w:val="center"/>
          </w:tcPr>
          <w:p w14:paraId="3F712D1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szCs w:val="22"/>
                <w14:ligatures w14:val="none"/>
              </w:rPr>
              <w:t>300</w:t>
            </w:r>
          </w:p>
        </w:tc>
      </w:tr>
      <w:tr w14:paraId="0292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noWrap/>
            <w:vAlign w:val="center"/>
          </w:tcPr>
          <w:p w14:paraId="712BD8E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5</w:t>
            </w:r>
          </w:p>
        </w:tc>
        <w:tc>
          <w:tcPr>
            <w:tcW w:w="1441" w:type="dxa"/>
            <w:tcBorders>
              <w:top w:val="nil"/>
              <w:left w:val="single" w:color="auto" w:sz="4" w:space="0"/>
              <w:bottom w:val="single" w:color="auto" w:sz="4" w:space="0"/>
              <w:right w:val="single" w:color="auto" w:sz="4" w:space="0"/>
            </w:tcBorders>
            <w:noWrap/>
            <w:vAlign w:val="center"/>
          </w:tcPr>
          <w:p w14:paraId="3A2D10B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豆沙枧水粽</w:t>
            </w:r>
          </w:p>
        </w:tc>
        <w:tc>
          <w:tcPr>
            <w:tcW w:w="1134" w:type="dxa"/>
            <w:tcBorders>
              <w:top w:val="nil"/>
              <w:left w:val="nil"/>
              <w:bottom w:val="single" w:color="auto" w:sz="4" w:space="0"/>
              <w:right w:val="single" w:color="auto" w:sz="4" w:space="0"/>
            </w:tcBorders>
            <w:vAlign w:val="center"/>
          </w:tcPr>
          <w:p w14:paraId="6DE77E5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330" w:type="dxa"/>
            <w:vMerge w:val="restart"/>
            <w:tcBorders>
              <w:top w:val="nil"/>
              <w:left w:val="single" w:color="auto" w:sz="4" w:space="0"/>
              <w:right w:val="single" w:color="auto" w:sz="4" w:space="0"/>
            </w:tcBorders>
            <w:vAlign w:val="center"/>
          </w:tcPr>
          <w:p w14:paraId="64E5E5F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白糯米、豆沙馅、枧水(碳酸钾、碳酸钠）</w:t>
            </w:r>
          </w:p>
        </w:tc>
        <w:tc>
          <w:tcPr>
            <w:tcW w:w="2127" w:type="dxa"/>
            <w:vMerge w:val="restart"/>
            <w:tcBorders>
              <w:top w:val="single" w:color="auto" w:sz="4" w:space="0"/>
              <w:left w:val="nil"/>
              <w:right w:val="single" w:color="auto" w:sz="4" w:space="0"/>
            </w:tcBorders>
            <w:vAlign w:val="center"/>
          </w:tcPr>
          <w:p w14:paraId="62B3BDA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豆沙馅料≥15克</w:t>
            </w:r>
          </w:p>
        </w:tc>
        <w:tc>
          <w:tcPr>
            <w:tcW w:w="1417" w:type="dxa"/>
            <w:tcBorders>
              <w:top w:val="single" w:color="auto" w:sz="4" w:space="0"/>
              <w:left w:val="single" w:color="auto" w:sz="4" w:space="0"/>
              <w:bottom w:val="single" w:color="auto" w:sz="4" w:space="0"/>
              <w:right w:val="single" w:color="auto" w:sz="4" w:space="0"/>
            </w:tcBorders>
            <w:vAlign w:val="center"/>
          </w:tcPr>
          <w:p w14:paraId="247F546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43D50D9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5F773976">
            <w:pPr>
              <w:widowControl/>
              <w:spacing w:after="0" w:line="240" w:lineRule="exact"/>
              <w:jc w:val="center"/>
              <w:rPr>
                <w:rFonts w:hint="eastAsia" w:ascii="宋体" w:hAnsi="宋体" w:eastAsia="宋体" w:cs="宋体"/>
                <w:color w:val="000000"/>
                <w:kern w:val="0"/>
                <w:szCs w:val="22"/>
                <w14:ligatures w14:val="none"/>
              </w:rPr>
            </w:pPr>
            <w:r>
              <w:rPr>
                <w:rFonts w:hint="eastAsia"/>
              </w:rPr>
              <w:t>10000</w:t>
            </w:r>
          </w:p>
        </w:tc>
        <w:tc>
          <w:tcPr>
            <w:tcW w:w="1280" w:type="dxa"/>
            <w:vAlign w:val="center"/>
          </w:tcPr>
          <w:p w14:paraId="7BE45B6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szCs w:val="22"/>
                <w14:ligatures w14:val="none"/>
              </w:rPr>
              <w:t>350</w:t>
            </w:r>
          </w:p>
        </w:tc>
      </w:tr>
      <w:tr w14:paraId="0C4B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Borders>
              <w:bottom w:val="single" w:color="auto" w:sz="4" w:space="0"/>
            </w:tcBorders>
            <w:noWrap/>
            <w:vAlign w:val="center"/>
          </w:tcPr>
          <w:p w14:paraId="458E6DD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6</w:t>
            </w:r>
          </w:p>
        </w:tc>
        <w:tc>
          <w:tcPr>
            <w:tcW w:w="1441" w:type="dxa"/>
            <w:tcBorders>
              <w:top w:val="nil"/>
              <w:left w:val="single" w:color="auto" w:sz="4" w:space="0"/>
              <w:bottom w:val="single" w:color="auto" w:sz="4" w:space="0"/>
              <w:right w:val="single" w:color="auto" w:sz="4" w:space="0"/>
            </w:tcBorders>
            <w:noWrap/>
            <w:vAlign w:val="center"/>
          </w:tcPr>
          <w:p w14:paraId="0418A82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豆沙枧水粽</w:t>
            </w:r>
          </w:p>
        </w:tc>
        <w:tc>
          <w:tcPr>
            <w:tcW w:w="1134" w:type="dxa"/>
            <w:tcBorders>
              <w:top w:val="nil"/>
              <w:left w:val="nil"/>
              <w:bottom w:val="single" w:color="auto" w:sz="4" w:space="0"/>
              <w:right w:val="single" w:color="auto" w:sz="4" w:space="0"/>
            </w:tcBorders>
            <w:vAlign w:val="center"/>
          </w:tcPr>
          <w:p w14:paraId="40F8936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330" w:type="dxa"/>
            <w:vMerge w:val="continue"/>
            <w:tcBorders>
              <w:left w:val="single" w:color="auto" w:sz="4" w:space="0"/>
              <w:bottom w:val="single" w:color="auto" w:sz="4" w:space="0"/>
              <w:right w:val="single" w:color="auto" w:sz="4" w:space="0"/>
            </w:tcBorders>
            <w:vAlign w:val="center"/>
          </w:tcPr>
          <w:p w14:paraId="1B3A993A">
            <w:pPr>
              <w:widowControl/>
              <w:spacing w:after="0" w:line="240" w:lineRule="exact"/>
              <w:jc w:val="center"/>
              <w:rPr>
                <w:rFonts w:hint="eastAsia" w:ascii="宋体" w:hAnsi="宋体" w:eastAsia="宋体" w:cs="宋体"/>
                <w:color w:val="000000"/>
                <w:kern w:val="0"/>
                <w:szCs w:val="22"/>
                <w14:ligatures w14:val="none"/>
              </w:rPr>
            </w:pPr>
          </w:p>
        </w:tc>
        <w:tc>
          <w:tcPr>
            <w:tcW w:w="2127" w:type="dxa"/>
            <w:vMerge w:val="continue"/>
            <w:tcBorders>
              <w:left w:val="nil"/>
              <w:bottom w:val="single" w:color="auto" w:sz="4" w:space="0"/>
              <w:right w:val="single" w:color="auto" w:sz="4" w:space="0"/>
            </w:tcBorders>
            <w:vAlign w:val="center"/>
          </w:tcPr>
          <w:p w14:paraId="32150742">
            <w:pPr>
              <w:widowControl/>
              <w:spacing w:after="0" w:line="240" w:lineRule="exact"/>
              <w:jc w:val="center"/>
              <w:rPr>
                <w:rFonts w:hint="eastAsia" w:ascii="宋体" w:hAnsi="宋体" w:eastAsia="宋体" w:cs="宋体"/>
                <w:color w:val="000000"/>
                <w:kern w:val="0"/>
                <w:szCs w:val="22"/>
                <w14:ligatures w14: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C449D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645289C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nil"/>
              <w:left w:val="single" w:color="auto" w:sz="4" w:space="0"/>
              <w:bottom w:val="single" w:color="auto" w:sz="4" w:space="0"/>
              <w:right w:val="single" w:color="auto" w:sz="4" w:space="0"/>
            </w:tcBorders>
            <w:shd w:val="clear" w:color="000000" w:fill="FFFFFF"/>
            <w:vAlign w:val="center"/>
          </w:tcPr>
          <w:p w14:paraId="4D7CD071">
            <w:pPr>
              <w:widowControl/>
              <w:spacing w:after="0" w:line="240" w:lineRule="exact"/>
              <w:jc w:val="center"/>
              <w:rPr>
                <w:rFonts w:hint="eastAsia" w:ascii="宋体" w:hAnsi="宋体" w:eastAsia="宋体" w:cs="宋体"/>
                <w:color w:val="000000"/>
                <w:kern w:val="0"/>
                <w:szCs w:val="22"/>
                <w14:ligatures w14:val="none"/>
              </w:rPr>
            </w:pPr>
            <w:r>
              <w:rPr>
                <w:rFonts w:hint="eastAsia"/>
              </w:rPr>
              <w:t>12000</w:t>
            </w:r>
          </w:p>
        </w:tc>
        <w:tc>
          <w:tcPr>
            <w:tcW w:w="1280" w:type="dxa"/>
            <w:tcBorders>
              <w:bottom w:val="single" w:color="auto" w:sz="4" w:space="0"/>
            </w:tcBorders>
            <w:vAlign w:val="center"/>
          </w:tcPr>
          <w:p w14:paraId="4855528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szCs w:val="22"/>
                <w14:ligatures w14:val="none"/>
              </w:rPr>
              <w:t>350</w:t>
            </w:r>
          </w:p>
        </w:tc>
      </w:tr>
      <w:tr w14:paraId="44D2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4C32832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7</w:t>
            </w:r>
          </w:p>
        </w:tc>
        <w:tc>
          <w:tcPr>
            <w:tcW w:w="1441" w:type="dxa"/>
            <w:tcBorders>
              <w:top w:val="single" w:color="auto" w:sz="4" w:space="0"/>
              <w:left w:val="single" w:color="auto" w:sz="4" w:space="0"/>
              <w:bottom w:val="single" w:color="auto" w:sz="4" w:space="0"/>
              <w:right w:val="single" w:color="auto" w:sz="4" w:space="0"/>
            </w:tcBorders>
            <w:noWrap/>
            <w:vAlign w:val="center"/>
          </w:tcPr>
          <w:p w14:paraId="48DF76D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桂花蜜枣粽</w:t>
            </w:r>
          </w:p>
        </w:tc>
        <w:tc>
          <w:tcPr>
            <w:tcW w:w="1134" w:type="dxa"/>
            <w:tcBorders>
              <w:top w:val="single" w:color="auto" w:sz="4" w:space="0"/>
              <w:left w:val="single" w:color="auto" w:sz="4" w:space="0"/>
              <w:bottom w:val="single" w:color="auto" w:sz="4" w:space="0"/>
              <w:right w:val="single" w:color="auto" w:sz="4" w:space="0"/>
            </w:tcBorders>
            <w:vAlign w:val="center"/>
          </w:tcPr>
          <w:p w14:paraId="3FDE1A7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330" w:type="dxa"/>
            <w:vMerge w:val="restart"/>
            <w:tcBorders>
              <w:top w:val="single" w:color="auto" w:sz="4" w:space="0"/>
              <w:left w:val="single" w:color="auto" w:sz="4" w:space="0"/>
              <w:bottom w:val="single" w:color="auto" w:sz="4" w:space="0"/>
              <w:right w:val="single" w:color="auto" w:sz="4" w:space="0"/>
            </w:tcBorders>
            <w:vAlign w:val="center"/>
          </w:tcPr>
          <w:p w14:paraId="46AA790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糯米、桂花、蜜枣、白砂糖、食用植物油</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14F2296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 xml:space="preserve">桂花(≥2%)、蜜枣(≥5%) </w:t>
            </w:r>
          </w:p>
        </w:tc>
        <w:tc>
          <w:tcPr>
            <w:tcW w:w="1417" w:type="dxa"/>
            <w:tcBorders>
              <w:top w:val="single" w:color="auto" w:sz="4" w:space="0"/>
              <w:left w:val="single" w:color="auto" w:sz="4" w:space="0"/>
              <w:bottom w:val="single" w:color="auto" w:sz="4" w:space="0"/>
              <w:right w:val="single" w:color="auto" w:sz="4" w:space="0"/>
            </w:tcBorders>
            <w:vAlign w:val="center"/>
          </w:tcPr>
          <w:p w14:paraId="292A69A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5B23BF0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05633799">
            <w:pPr>
              <w:widowControl/>
              <w:spacing w:after="0" w:line="240" w:lineRule="exact"/>
              <w:jc w:val="center"/>
              <w:rPr>
                <w:rFonts w:hint="eastAsia" w:ascii="宋体" w:hAnsi="宋体" w:eastAsia="宋体" w:cs="宋体"/>
                <w:color w:val="000000"/>
                <w:kern w:val="0"/>
                <w:szCs w:val="22"/>
                <w14:ligatures w14:val="none"/>
              </w:rPr>
            </w:pPr>
            <w:r>
              <w:rPr>
                <w:rFonts w:hint="eastAsia"/>
              </w:rPr>
              <w:t>4000</w:t>
            </w:r>
          </w:p>
        </w:tc>
        <w:tc>
          <w:tcPr>
            <w:tcW w:w="1280" w:type="dxa"/>
            <w:tcBorders>
              <w:top w:val="single" w:color="auto" w:sz="4" w:space="0"/>
              <w:left w:val="single" w:color="auto" w:sz="4" w:space="0"/>
              <w:bottom w:val="single" w:color="auto" w:sz="4" w:space="0"/>
              <w:right w:val="single" w:color="auto" w:sz="4" w:space="0"/>
            </w:tcBorders>
            <w:vAlign w:val="center"/>
          </w:tcPr>
          <w:p w14:paraId="4A589ED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tc>
      </w:tr>
      <w:tr w14:paraId="3091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4AFC759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8</w:t>
            </w:r>
          </w:p>
        </w:tc>
        <w:tc>
          <w:tcPr>
            <w:tcW w:w="1441" w:type="dxa"/>
            <w:tcBorders>
              <w:top w:val="single" w:color="auto" w:sz="4" w:space="0"/>
              <w:left w:val="single" w:color="auto" w:sz="4" w:space="0"/>
              <w:bottom w:val="single" w:color="auto" w:sz="4" w:space="0"/>
              <w:right w:val="single" w:color="auto" w:sz="4" w:space="0"/>
            </w:tcBorders>
            <w:noWrap/>
            <w:vAlign w:val="center"/>
          </w:tcPr>
          <w:p w14:paraId="5238976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桂花蜜枣粽</w:t>
            </w:r>
          </w:p>
        </w:tc>
        <w:tc>
          <w:tcPr>
            <w:tcW w:w="1134" w:type="dxa"/>
            <w:tcBorders>
              <w:top w:val="single" w:color="auto" w:sz="4" w:space="0"/>
              <w:left w:val="single" w:color="auto" w:sz="4" w:space="0"/>
              <w:bottom w:val="single" w:color="auto" w:sz="4" w:space="0"/>
              <w:right w:val="single" w:color="auto" w:sz="4" w:space="0"/>
            </w:tcBorders>
            <w:vAlign w:val="center"/>
          </w:tcPr>
          <w:p w14:paraId="6014E09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1BF91E6F">
            <w:pPr>
              <w:widowControl/>
              <w:spacing w:after="0" w:line="240" w:lineRule="exact"/>
              <w:jc w:val="center"/>
              <w:rPr>
                <w:rFonts w:hint="eastAsia" w:ascii="宋体" w:hAnsi="宋体" w:eastAsia="宋体" w:cs="宋体"/>
                <w:color w:val="000000"/>
                <w:kern w:val="0"/>
                <w:szCs w:val="22"/>
                <w14:ligatures w14: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F113B6D">
            <w:pPr>
              <w:widowControl/>
              <w:spacing w:after="0" w:line="240" w:lineRule="exact"/>
              <w:jc w:val="center"/>
              <w:rPr>
                <w:rFonts w:hint="eastAsia" w:ascii="宋体" w:hAnsi="宋体" w:eastAsia="宋体" w:cs="宋体"/>
                <w:color w:val="000000"/>
                <w:kern w:val="0"/>
                <w:szCs w:val="22"/>
                <w14:ligatures w14: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32199C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0B15C86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5DB4FD97">
            <w:pPr>
              <w:widowControl/>
              <w:spacing w:after="0" w:line="240" w:lineRule="exact"/>
              <w:jc w:val="center"/>
              <w:rPr>
                <w:rFonts w:hint="eastAsia" w:ascii="宋体" w:hAnsi="宋体" w:eastAsia="宋体" w:cs="宋体"/>
                <w:color w:val="000000"/>
                <w:kern w:val="0"/>
                <w:szCs w:val="22"/>
                <w14:ligatures w14:val="none"/>
              </w:rPr>
            </w:pPr>
            <w:r>
              <w:rPr>
                <w:rFonts w:hint="eastAsia"/>
              </w:rPr>
              <w:t>6000</w:t>
            </w:r>
          </w:p>
        </w:tc>
        <w:tc>
          <w:tcPr>
            <w:tcW w:w="1280" w:type="dxa"/>
            <w:tcBorders>
              <w:top w:val="single" w:color="auto" w:sz="4" w:space="0"/>
              <w:left w:val="single" w:color="auto" w:sz="4" w:space="0"/>
              <w:bottom w:val="single" w:color="auto" w:sz="4" w:space="0"/>
              <w:right w:val="single" w:color="auto" w:sz="4" w:space="0"/>
            </w:tcBorders>
            <w:vAlign w:val="center"/>
          </w:tcPr>
          <w:p w14:paraId="0371673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tc>
      </w:tr>
      <w:tr w14:paraId="12BE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5B31AE7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9</w:t>
            </w:r>
          </w:p>
        </w:tc>
        <w:tc>
          <w:tcPr>
            <w:tcW w:w="1441" w:type="dxa"/>
            <w:tcBorders>
              <w:top w:val="single" w:color="auto" w:sz="4" w:space="0"/>
              <w:left w:val="single" w:color="auto" w:sz="4" w:space="0"/>
              <w:bottom w:val="single" w:color="auto" w:sz="4" w:space="0"/>
              <w:right w:val="single" w:color="auto" w:sz="4" w:space="0"/>
            </w:tcBorders>
            <w:noWrap/>
            <w:vAlign w:val="center"/>
          </w:tcPr>
          <w:p w14:paraId="1BFFF79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瑶柱咸肉粽</w:t>
            </w:r>
          </w:p>
        </w:tc>
        <w:tc>
          <w:tcPr>
            <w:tcW w:w="1134" w:type="dxa"/>
            <w:tcBorders>
              <w:top w:val="single" w:color="auto" w:sz="4" w:space="0"/>
              <w:left w:val="single" w:color="auto" w:sz="4" w:space="0"/>
              <w:bottom w:val="single" w:color="auto" w:sz="4" w:space="0"/>
              <w:right w:val="single" w:color="auto" w:sz="4" w:space="0"/>
            </w:tcBorders>
            <w:vAlign w:val="center"/>
          </w:tcPr>
          <w:p w14:paraId="45CADB5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330" w:type="dxa"/>
            <w:vMerge w:val="restart"/>
            <w:tcBorders>
              <w:top w:val="single" w:color="auto" w:sz="4" w:space="0"/>
              <w:left w:val="single" w:color="auto" w:sz="4" w:space="0"/>
              <w:bottom w:val="single" w:color="auto" w:sz="4" w:space="0"/>
              <w:right w:val="single" w:color="auto" w:sz="4" w:space="0"/>
            </w:tcBorders>
            <w:vAlign w:val="center"/>
          </w:tcPr>
          <w:p w14:paraId="124E416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白糯米、猪肉、绿豆、瑶柱</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5F2FABE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1、猪肉：</w:t>
            </w:r>
          </w:p>
          <w:p w14:paraId="42E2086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脊膘不少于15g，</w:t>
            </w:r>
          </w:p>
          <w:p w14:paraId="7468D7D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后腿肉不少于15g；</w:t>
            </w:r>
          </w:p>
          <w:p w14:paraId="752E3CE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2、干瑶柱1粒≥3g；</w:t>
            </w:r>
          </w:p>
          <w:p w14:paraId="09E47C3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3、绿豆≥12g。</w:t>
            </w:r>
          </w:p>
        </w:tc>
        <w:tc>
          <w:tcPr>
            <w:tcW w:w="1417" w:type="dxa"/>
            <w:tcBorders>
              <w:top w:val="single" w:color="auto" w:sz="4" w:space="0"/>
              <w:left w:val="single" w:color="auto" w:sz="4" w:space="0"/>
              <w:bottom w:val="single" w:color="auto" w:sz="4" w:space="0"/>
              <w:right w:val="single" w:color="auto" w:sz="4" w:space="0"/>
            </w:tcBorders>
            <w:vAlign w:val="center"/>
          </w:tcPr>
          <w:p w14:paraId="1D7DDFF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0104B62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2CCBF5D1">
            <w:pPr>
              <w:widowControl/>
              <w:spacing w:after="0" w:line="240" w:lineRule="exact"/>
              <w:jc w:val="center"/>
              <w:rPr>
                <w:rFonts w:hint="eastAsia" w:ascii="宋体" w:hAnsi="宋体" w:eastAsia="宋体" w:cs="宋体"/>
                <w:color w:val="000000"/>
                <w:kern w:val="0"/>
                <w:szCs w:val="22"/>
                <w14:ligatures w14:val="none"/>
              </w:rPr>
            </w:pPr>
            <w:r>
              <w:rPr>
                <w:rFonts w:hint="eastAsia"/>
              </w:rPr>
              <w:t>2000</w:t>
            </w:r>
          </w:p>
        </w:tc>
        <w:tc>
          <w:tcPr>
            <w:tcW w:w="1280" w:type="dxa"/>
            <w:tcBorders>
              <w:top w:val="single" w:color="auto" w:sz="4" w:space="0"/>
              <w:left w:val="single" w:color="auto" w:sz="4" w:space="0"/>
              <w:bottom w:val="single" w:color="auto" w:sz="4" w:space="0"/>
              <w:right w:val="single" w:color="auto" w:sz="4" w:space="0"/>
            </w:tcBorders>
            <w:vAlign w:val="center"/>
          </w:tcPr>
          <w:p w14:paraId="27A2270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600</w:t>
            </w:r>
          </w:p>
        </w:tc>
      </w:tr>
      <w:tr w14:paraId="50E9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3FFDC95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w:t>
            </w:r>
          </w:p>
        </w:tc>
        <w:tc>
          <w:tcPr>
            <w:tcW w:w="1441" w:type="dxa"/>
            <w:tcBorders>
              <w:top w:val="single" w:color="auto" w:sz="4" w:space="0"/>
              <w:left w:val="single" w:color="auto" w:sz="4" w:space="0"/>
              <w:bottom w:val="single" w:color="auto" w:sz="4" w:space="0"/>
              <w:right w:val="single" w:color="auto" w:sz="4" w:space="0"/>
            </w:tcBorders>
            <w:noWrap/>
            <w:vAlign w:val="center"/>
          </w:tcPr>
          <w:p w14:paraId="06219A0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瑶柱咸肉粽</w:t>
            </w:r>
          </w:p>
        </w:tc>
        <w:tc>
          <w:tcPr>
            <w:tcW w:w="1134" w:type="dxa"/>
            <w:tcBorders>
              <w:top w:val="single" w:color="auto" w:sz="4" w:space="0"/>
              <w:left w:val="single" w:color="auto" w:sz="4" w:space="0"/>
              <w:bottom w:val="single" w:color="auto" w:sz="4" w:space="0"/>
              <w:right w:val="single" w:color="auto" w:sz="4" w:space="0"/>
            </w:tcBorders>
            <w:vAlign w:val="center"/>
          </w:tcPr>
          <w:p w14:paraId="521F067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0B47C9BE">
            <w:pPr>
              <w:widowControl/>
              <w:spacing w:after="0" w:line="240" w:lineRule="exact"/>
              <w:jc w:val="center"/>
              <w:rPr>
                <w:rFonts w:hint="eastAsia" w:ascii="宋体" w:hAnsi="宋体" w:eastAsia="宋体" w:cs="宋体"/>
                <w:color w:val="000000"/>
                <w:kern w:val="0"/>
                <w:szCs w:val="22"/>
                <w14:ligatures w14: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C132E93">
            <w:pPr>
              <w:widowControl/>
              <w:spacing w:after="0" w:line="240" w:lineRule="exact"/>
              <w:jc w:val="center"/>
              <w:rPr>
                <w:rFonts w:hint="eastAsia" w:ascii="宋体" w:hAnsi="宋体" w:eastAsia="宋体" w:cs="宋体"/>
                <w:color w:val="000000"/>
                <w:kern w:val="0"/>
                <w:szCs w:val="22"/>
                <w14:ligatures w14: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EEB23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6E37C8A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6D18FB31">
            <w:pPr>
              <w:widowControl/>
              <w:spacing w:after="0" w:line="240" w:lineRule="exact"/>
              <w:jc w:val="center"/>
              <w:rPr>
                <w:rFonts w:hint="eastAsia" w:ascii="宋体" w:hAnsi="宋体" w:eastAsia="宋体" w:cs="宋体"/>
                <w:color w:val="000000"/>
                <w:kern w:val="0"/>
                <w:szCs w:val="22"/>
                <w14:ligatures w14:val="none"/>
              </w:rPr>
            </w:pPr>
            <w:r>
              <w:rPr>
                <w:rFonts w:hint="eastAsia"/>
              </w:rPr>
              <w:t>3000</w:t>
            </w:r>
          </w:p>
        </w:tc>
        <w:tc>
          <w:tcPr>
            <w:tcW w:w="1280" w:type="dxa"/>
            <w:tcBorders>
              <w:top w:val="single" w:color="auto" w:sz="4" w:space="0"/>
              <w:left w:val="single" w:color="auto" w:sz="4" w:space="0"/>
              <w:bottom w:val="single" w:color="auto" w:sz="4" w:space="0"/>
              <w:right w:val="single" w:color="auto" w:sz="4" w:space="0"/>
            </w:tcBorders>
            <w:vAlign w:val="center"/>
          </w:tcPr>
          <w:p w14:paraId="726968E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300</w:t>
            </w:r>
          </w:p>
        </w:tc>
      </w:tr>
      <w:tr w14:paraId="11EF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278AE18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11</w:t>
            </w:r>
          </w:p>
        </w:tc>
        <w:tc>
          <w:tcPr>
            <w:tcW w:w="1441" w:type="dxa"/>
            <w:tcBorders>
              <w:top w:val="single" w:color="auto" w:sz="4" w:space="0"/>
              <w:left w:val="single" w:color="auto" w:sz="4" w:space="0"/>
              <w:bottom w:val="single" w:color="auto" w:sz="4" w:space="0"/>
              <w:right w:val="single" w:color="auto" w:sz="4" w:space="0"/>
            </w:tcBorders>
            <w:noWrap/>
            <w:vAlign w:val="center"/>
          </w:tcPr>
          <w:p w14:paraId="15FBFED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精品全料咸肉粽</w:t>
            </w:r>
          </w:p>
        </w:tc>
        <w:tc>
          <w:tcPr>
            <w:tcW w:w="1134" w:type="dxa"/>
            <w:tcBorders>
              <w:top w:val="single" w:color="auto" w:sz="4" w:space="0"/>
              <w:left w:val="single" w:color="auto" w:sz="4" w:space="0"/>
              <w:bottom w:val="single" w:color="auto" w:sz="4" w:space="0"/>
              <w:right w:val="single" w:color="auto" w:sz="4" w:space="0"/>
            </w:tcBorders>
            <w:vAlign w:val="center"/>
          </w:tcPr>
          <w:p w14:paraId="7F6D754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330" w:type="dxa"/>
            <w:vMerge w:val="restart"/>
            <w:tcBorders>
              <w:top w:val="single" w:color="auto" w:sz="4" w:space="0"/>
              <w:left w:val="single" w:color="auto" w:sz="4" w:space="0"/>
              <w:bottom w:val="single" w:color="auto" w:sz="4" w:space="0"/>
              <w:right w:val="single" w:color="auto" w:sz="4" w:space="0"/>
            </w:tcBorders>
            <w:vAlign w:val="center"/>
          </w:tcPr>
          <w:p w14:paraId="2538C41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虾米、瑶柱、蛋黄、腊肠、五花肉、香菇、花生、绿豆</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0DC863A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猪肉(≥15%)、咸鸭蛋黄(≥2%)、小瑶柱(≥1%)、虾米(≥1.5%)、腊肠(≥1.3%)、花生(≥2.5%)</w:t>
            </w:r>
          </w:p>
        </w:tc>
        <w:tc>
          <w:tcPr>
            <w:tcW w:w="1417" w:type="dxa"/>
            <w:tcBorders>
              <w:top w:val="single" w:color="auto" w:sz="4" w:space="0"/>
              <w:left w:val="single" w:color="auto" w:sz="4" w:space="0"/>
              <w:bottom w:val="single" w:color="auto" w:sz="4" w:space="0"/>
              <w:right w:val="single" w:color="auto" w:sz="4" w:space="0"/>
            </w:tcBorders>
            <w:vAlign w:val="center"/>
          </w:tcPr>
          <w:p w14:paraId="5BA4C73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5B7AEA2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1576F42E">
            <w:pPr>
              <w:widowControl/>
              <w:spacing w:after="0" w:line="240" w:lineRule="exact"/>
              <w:jc w:val="center"/>
              <w:rPr>
                <w:rFonts w:hint="eastAsia" w:ascii="宋体" w:hAnsi="宋体" w:eastAsia="宋体" w:cs="宋体"/>
                <w:color w:val="000000"/>
                <w:kern w:val="0"/>
                <w:szCs w:val="22"/>
                <w14:ligatures w14:val="none"/>
              </w:rPr>
            </w:pPr>
            <w:r>
              <w:rPr>
                <w:rFonts w:hint="eastAsia"/>
              </w:rPr>
              <w:t>1000</w:t>
            </w:r>
          </w:p>
        </w:tc>
        <w:tc>
          <w:tcPr>
            <w:tcW w:w="1280" w:type="dxa"/>
            <w:tcBorders>
              <w:top w:val="single" w:color="auto" w:sz="4" w:space="0"/>
              <w:left w:val="single" w:color="auto" w:sz="4" w:space="0"/>
              <w:bottom w:val="single" w:color="auto" w:sz="4" w:space="0"/>
              <w:right w:val="single" w:color="auto" w:sz="4" w:space="0"/>
            </w:tcBorders>
            <w:vAlign w:val="center"/>
          </w:tcPr>
          <w:p w14:paraId="0F8239C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w:t>
            </w:r>
          </w:p>
        </w:tc>
      </w:tr>
      <w:tr w14:paraId="327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3888021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12</w:t>
            </w:r>
          </w:p>
        </w:tc>
        <w:tc>
          <w:tcPr>
            <w:tcW w:w="1441" w:type="dxa"/>
            <w:tcBorders>
              <w:top w:val="single" w:color="auto" w:sz="4" w:space="0"/>
              <w:left w:val="single" w:color="auto" w:sz="4" w:space="0"/>
              <w:bottom w:val="single" w:color="auto" w:sz="4" w:space="0"/>
              <w:right w:val="single" w:color="auto" w:sz="4" w:space="0"/>
            </w:tcBorders>
            <w:noWrap/>
            <w:vAlign w:val="center"/>
          </w:tcPr>
          <w:p w14:paraId="54C3E20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精品全料咸肉粽</w:t>
            </w:r>
          </w:p>
        </w:tc>
        <w:tc>
          <w:tcPr>
            <w:tcW w:w="1134" w:type="dxa"/>
            <w:tcBorders>
              <w:top w:val="single" w:color="auto" w:sz="4" w:space="0"/>
              <w:left w:val="single" w:color="auto" w:sz="4" w:space="0"/>
              <w:bottom w:val="single" w:color="auto" w:sz="4" w:space="0"/>
              <w:right w:val="single" w:color="auto" w:sz="4" w:space="0"/>
            </w:tcBorders>
            <w:vAlign w:val="center"/>
          </w:tcPr>
          <w:p w14:paraId="79C3D61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68F8906F">
            <w:pPr>
              <w:widowControl/>
              <w:spacing w:after="0" w:line="240" w:lineRule="exact"/>
              <w:jc w:val="center"/>
              <w:rPr>
                <w:rFonts w:hint="eastAsia" w:ascii="宋体" w:hAnsi="宋体" w:eastAsia="宋体" w:cs="宋体"/>
                <w:color w:val="000000"/>
                <w:kern w:val="0"/>
                <w:szCs w:val="22"/>
                <w14:ligatures w14: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2C9E424">
            <w:pPr>
              <w:widowControl/>
              <w:spacing w:after="0" w:line="240" w:lineRule="exact"/>
              <w:jc w:val="center"/>
              <w:rPr>
                <w:rFonts w:hint="eastAsia" w:ascii="宋体" w:hAnsi="宋体" w:eastAsia="宋体" w:cs="宋体"/>
                <w:color w:val="000000"/>
                <w:kern w:val="0"/>
                <w:szCs w:val="22"/>
                <w14:ligatures w14: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420F8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1F5B38D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1139" w:type="dxa"/>
            <w:tcBorders>
              <w:top w:val="single" w:color="auto" w:sz="4" w:space="0"/>
              <w:left w:val="single" w:color="auto" w:sz="4" w:space="0"/>
              <w:bottom w:val="single" w:color="auto" w:sz="4" w:space="0"/>
              <w:right w:val="single" w:color="auto" w:sz="4" w:space="0"/>
            </w:tcBorders>
            <w:shd w:val="clear" w:color="000000" w:fill="FFFFFF"/>
            <w:vAlign w:val="center"/>
          </w:tcPr>
          <w:p w14:paraId="09A1494F">
            <w:pPr>
              <w:widowControl/>
              <w:spacing w:after="0" w:line="240" w:lineRule="exact"/>
              <w:jc w:val="center"/>
              <w:rPr>
                <w:rFonts w:hint="eastAsia" w:ascii="宋体" w:hAnsi="宋体" w:eastAsia="宋体" w:cs="宋体"/>
                <w:color w:val="000000"/>
                <w:kern w:val="0"/>
                <w:szCs w:val="22"/>
                <w14:ligatures w14:val="none"/>
              </w:rPr>
            </w:pPr>
            <w:r>
              <w:rPr>
                <w:rFonts w:hint="eastAsia"/>
              </w:rPr>
              <w:t>2000</w:t>
            </w:r>
          </w:p>
        </w:tc>
        <w:tc>
          <w:tcPr>
            <w:tcW w:w="1280" w:type="dxa"/>
            <w:tcBorders>
              <w:top w:val="single" w:color="auto" w:sz="4" w:space="0"/>
            </w:tcBorders>
            <w:vAlign w:val="center"/>
          </w:tcPr>
          <w:p w14:paraId="0B86191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tc>
      </w:tr>
    </w:tbl>
    <w:p w14:paraId="6B2C49C5">
      <w:pPr>
        <w:pStyle w:val="10"/>
        <w:numPr>
          <w:ilvl w:val="0"/>
          <w:numId w:val="7"/>
        </w:numPr>
        <w:spacing w:before="320" w:after="120" w:line="360" w:lineRule="auto"/>
        <w:ind w:firstLine="57" w:firstLineChars="0"/>
        <w:outlineLvl w:val="1"/>
        <w:rPr>
          <w:rFonts w:hint="eastAsia" w:ascii="宋体" w:hAnsi="宋体" w:eastAsia="宋体" w:cs="Arial"/>
          <w:b/>
          <w:sz w:val="24"/>
        </w:rPr>
      </w:pPr>
      <w:bookmarkStart w:id="11" w:name="heading_16"/>
      <w:r>
        <w:rPr>
          <w:rFonts w:ascii="宋体" w:hAnsi="宋体" w:eastAsia="宋体" w:cs="Arial"/>
          <w:b/>
          <w:sz w:val="24"/>
        </w:rPr>
        <w:t>配送服务要求</w:t>
      </w:r>
      <w:bookmarkEnd w:id="11"/>
    </w:p>
    <w:p w14:paraId="1D170A3F">
      <w:pPr>
        <w:numPr>
          <w:ilvl w:val="0"/>
          <w:numId w:val="9"/>
        </w:numPr>
        <w:spacing w:before="120" w:after="120" w:line="360" w:lineRule="auto"/>
        <w:ind w:firstLine="482" w:firstLineChars="200"/>
        <w:rPr>
          <w:rFonts w:hint="eastAsia" w:ascii="宋体" w:hAnsi="宋体" w:eastAsia="宋体"/>
          <w:sz w:val="24"/>
        </w:rPr>
      </w:pPr>
      <w:r>
        <w:rPr>
          <w:rFonts w:hint="eastAsia" w:ascii="宋体" w:hAnsi="宋体" w:eastAsia="宋体" w:cs="Arial"/>
          <w:b/>
          <w:sz w:val="24"/>
        </w:rPr>
        <w:t>交货时间</w:t>
      </w:r>
      <w:r>
        <w:rPr>
          <w:rFonts w:ascii="宋体" w:hAnsi="宋体" w:eastAsia="宋体" w:cs="Arial"/>
          <w:sz w:val="24"/>
        </w:rPr>
        <w:t>：</w:t>
      </w:r>
      <w:r>
        <w:rPr>
          <w:rFonts w:hint="eastAsia" w:ascii="宋体" w:hAnsi="宋体" w:eastAsia="宋体" w:cs="Arial"/>
          <w:sz w:val="24"/>
        </w:rPr>
        <w:t>2026年端午节前，具体时间以采购方通知为准。</w:t>
      </w:r>
    </w:p>
    <w:p w14:paraId="17F0DA25">
      <w:pPr>
        <w:numPr>
          <w:ilvl w:val="0"/>
          <w:numId w:val="9"/>
        </w:numPr>
        <w:spacing w:before="120" w:after="120" w:line="360" w:lineRule="auto"/>
        <w:ind w:firstLine="482" w:firstLineChars="200"/>
        <w:rPr>
          <w:rFonts w:hint="eastAsia" w:ascii="宋体" w:hAnsi="宋体" w:eastAsia="宋体"/>
          <w:sz w:val="24"/>
        </w:rPr>
      </w:pPr>
      <w:r>
        <w:rPr>
          <w:rFonts w:ascii="宋体" w:hAnsi="宋体" w:eastAsia="宋体" w:cs="Arial"/>
          <w:b/>
          <w:sz w:val="24"/>
        </w:rPr>
        <w:t>配送方式</w:t>
      </w:r>
      <w:r>
        <w:rPr>
          <w:rFonts w:ascii="宋体" w:hAnsi="宋体" w:eastAsia="宋体" w:cs="Arial"/>
          <w:sz w:val="24"/>
        </w:rPr>
        <w:t>：</w:t>
      </w:r>
      <w:r>
        <w:rPr>
          <w:rFonts w:hint="eastAsia" w:ascii="宋体" w:hAnsi="宋体" w:eastAsia="宋体" w:cs="Arial"/>
          <w:sz w:val="24"/>
        </w:rPr>
        <w:t>真空包装粽子恒温避光配送</w:t>
      </w:r>
      <w:r>
        <w:rPr>
          <w:rFonts w:ascii="宋体" w:hAnsi="宋体" w:eastAsia="宋体" w:cs="Arial"/>
          <w:sz w:val="24"/>
        </w:rPr>
        <w:t>，</w:t>
      </w:r>
      <w:r>
        <w:rPr>
          <w:rFonts w:hint="eastAsia" w:ascii="宋体" w:hAnsi="宋体" w:eastAsia="宋体" w:cs="Arial"/>
          <w:sz w:val="24"/>
        </w:rPr>
        <w:t>常规包装粽子全程冷链0-4℃配送</w:t>
      </w:r>
      <w:r>
        <w:rPr>
          <w:rFonts w:hint="eastAsia" w:ascii="宋体" w:hAnsi="宋体" w:eastAsia="宋体" w:cs="Arial"/>
          <w:bCs/>
          <w:sz w:val="24"/>
        </w:rPr>
        <w:t>，配送车辆不得与非食品类物资混装，装卸过程做到“门对门”无缝衔接，减少常温暴露时间</w:t>
      </w:r>
      <w:r>
        <w:rPr>
          <w:rFonts w:ascii="宋体" w:hAnsi="宋体" w:eastAsia="宋体" w:cs="Arial"/>
          <w:sz w:val="24"/>
        </w:rPr>
        <w:t>。</w:t>
      </w:r>
    </w:p>
    <w:p w14:paraId="0DED8D51">
      <w:pPr>
        <w:numPr>
          <w:ilvl w:val="0"/>
          <w:numId w:val="9"/>
        </w:numPr>
        <w:spacing w:before="120" w:after="120" w:line="360" w:lineRule="auto"/>
        <w:ind w:firstLine="482" w:firstLineChars="200"/>
        <w:rPr>
          <w:rFonts w:hint="eastAsia" w:ascii="宋体" w:hAnsi="宋体" w:eastAsia="宋体"/>
          <w:sz w:val="24"/>
        </w:rPr>
      </w:pPr>
      <w:r>
        <w:rPr>
          <w:rFonts w:ascii="宋体" w:hAnsi="宋体" w:eastAsia="宋体" w:cs="Arial"/>
          <w:b/>
          <w:sz w:val="24"/>
        </w:rPr>
        <w:t>装卸服务</w:t>
      </w:r>
      <w:r>
        <w:rPr>
          <w:rFonts w:ascii="宋体" w:hAnsi="宋体" w:eastAsia="宋体" w:cs="Arial"/>
          <w:sz w:val="24"/>
        </w:rPr>
        <w:t>：供应商须将物资搬运至采购方指定食堂仓库/操作区域并摆放整齐，配合验收，不得要求采购方提供额外装卸服务。</w:t>
      </w:r>
    </w:p>
    <w:p w14:paraId="6D532807">
      <w:pPr>
        <w:numPr>
          <w:ilvl w:val="0"/>
          <w:numId w:val="9"/>
        </w:numPr>
        <w:spacing w:before="120" w:after="120" w:line="360" w:lineRule="auto"/>
        <w:ind w:firstLine="482" w:firstLineChars="200"/>
        <w:rPr>
          <w:rFonts w:hint="eastAsia" w:ascii="宋体" w:hAnsi="宋体" w:eastAsia="宋体"/>
          <w:sz w:val="24"/>
        </w:rPr>
      </w:pPr>
      <w:r>
        <w:rPr>
          <w:rFonts w:ascii="宋体" w:hAnsi="宋体" w:eastAsia="宋体" w:cs="Arial"/>
          <w:b/>
          <w:sz w:val="24"/>
        </w:rPr>
        <w:t>配送频次</w:t>
      </w:r>
      <w:r>
        <w:rPr>
          <w:rFonts w:ascii="宋体" w:hAnsi="宋体" w:eastAsia="宋体" w:cs="Arial"/>
          <w:sz w:val="24"/>
        </w:rPr>
        <w:t>：按订单要求配送，采购方临时加急订单，供应商须优先安排。</w:t>
      </w:r>
    </w:p>
    <w:p w14:paraId="2A3378F3">
      <w:pPr>
        <w:pStyle w:val="10"/>
        <w:numPr>
          <w:ilvl w:val="0"/>
          <w:numId w:val="7"/>
        </w:numPr>
        <w:spacing w:before="320" w:after="120" w:line="360" w:lineRule="auto"/>
        <w:ind w:firstLine="57" w:firstLineChars="0"/>
        <w:outlineLvl w:val="1"/>
        <w:rPr>
          <w:rFonts w:hint="eastAsia" w:ascii="宋体" w:hAnsi="宋体" w:eastAsia="宋体" w:cs="Arial"/>
          <w:b/>
          <w:sz w:val="24"/>
        </w:rPr>
      </w:pPr>
      <w:bookmarkStart w:id="12" w:name="heading_17"/>
      <w:r>
        <w:rPr>
          <w:rFonts w:ascii="宋体" w:hAnsi="宋体" w:eastAsia="宋体" w:cs="Arial"/>
          <w:b/>
          <w:sz w:val="24"/>
        </w:rPr>
        <w:t>验收要求</w:t>
      </w:r>
      <w:bookmarkEnd w:id="12"/>
    </w:p>
    <w:p w14:paraId="13B3C50B">
      <w:pPr>
        <w:numPr>
          <w:ilvl w:val="0"/>
          <w:numId w:val="10"/>
        </w:numPr>
        <w:spacing w:before="120" w:after="120" w:line="360" w:lineRule="auto"/>
        <w:ind w:firstLine="480" w:firstLineChars="200"/>
        <w:rPr>
          <w:rFonts w:hint="eastAsia" w:ascii="宋体" w:hAnsi="宋体" w:eastAsia="宋体"/>
          <w:sz w:val="24"/>
        </w:rPr>
      </w:pPr>
      <w:r>
        <w:rPr>
          <w:rFonts w:hint="eastAsia" w:ascii="宋体" w:hAnsi="宋体" w:eastAsia="宋体" w:cs="Arial"/>
          <w:sz w:val="24"/>
        </w:rPr>
        <w:t>送货前应提交近12个月内的第三方食品安全检测报告（检测项目符合标准要求），采购方对所供物资进行验收，供应商需配合采购方完成验收工作。</w:t>
      </w:r>
    </w:p>
    <w:p w14:paraId="729AE466">
      <w:pPr>
        <w:numPr>
          <w:ilvl w:val="0"/>
          <w:numId w:val="10"/>
        </w:numPr>
        <w:spacing w:before="120" w:after="120" w:line="360" w:lineRule="auto"/>
        <w:ind w:firstLine="480" w:firstLineChars="200"/>
        <w:rPr>
          <w:rFonts w:hint="eastAsia" w:ascii="宋体" w:hAnsi="宋体" w:eastAsia="宋体"/>
          <w:sz w:val="24"/>
        </w:rPr>
      </w:pPr>
      <w:r>
        <w:rPr>
          <w:rFonts w:ascii="宋体" w:hAnsi="宋体" w:eastAsia="宋体" w:cs="Arial"/>
          <w:sz w:val="24"/>
        </w:rPr>
        <w:t>物资送达后，</w:t>
      </w:r>
      <w:r>
        <w:rPr>
          <w:rFonts w:hint="eastAsia" w:ascii="宋体" w:hAnsi="宋体" w:eastAsia="宋体" w:cs="Arial"/>
          <w:sz w:val="24"/>
        </w:rPr>
        <w:t>按GB/T46259-2025《粽子质量通则》或其他同类标准(如经过备案的企业标准)，</w:t>
      </w:r>
      <w:r>
        <w:rPr>
          <w:rFonts w:ascii="宋体" w:hAnsi="宋体" w:eastAsia="宋体" w:cs="Arial"/>
          <w:sz w:val="24"/>
        </w:rPr>
        <w:t>采购方</w:t>
      </w:r>
      <w:r>
        <w:rPr>
          <w:rFonts w:hint="eastAsia" w:ascii="宋体" w:hAnsi="宋体" w:eastAsia="宋体" w:cs="Arial"/>
          <w:sz w:val="24"/>
        </w:rPr>
        <w:t>每批次</w:t>
      </w:r>
      <w:r>
        <w:rPr>
          <w:rFonts w:ascii="宋体" w:hAnsi="宋体" w:eastAsia="宋体" w:cs="Arial"/>
          <w:sz w:val="24"/>
        </w:rPr>
        <w:t>现场验收</w:t>
      </w:r>
      <w:r>
        <w:rPr>
          <w:rFonts w:ascii="宋体" w:hAnsi="宋体" w:eastAsia="宋体" w:cs="Arial"/>
          <w:b/>
          <w:sz w:val="24"/>
        </w:rPr>
        <w:t>名称、规格、数量、新鲜度、包装、保质期</w:t>
      </w:r>
      <w:r>
        <w:rPr>
          <w:rFonts w:hint="eastAsia" w:ascii="宋体" w:hAnsi="宋体" w:eastAsia="宋体" w:cs="Arial"/>
          <w:b/>
          <w:sz w:val="24"/>
        </w:rPr>
        <w:t>、随货厂检报告</w:t>
      </w:r>
      <w:r>
        <w:rPr>
          <w:rFonts w:ascii="宋体" w:hAnsi="宋体" w:eastAsia="宋体" w:cs="Arial"/>
          <w:sz w:val="24"/>
        </w:rPr>
        <w:t>，核对样板与实际配送物资的一致性。</w:t>
      </w:r>
    </w:p>
    <w:p w14:paraId="3B39201B">
      <w:pPr>
        <w:numPr>
          <w:ilvl w:val="0"/>
          <w:numId w:val="10"/>
        </w:numPr>
        <w:spacing w:before="120" w:after="120" w:line="360" w:lineRule="auto"/>
        <w:ind w:firstLine="480" w:firstLineChars="200"/>
        <w:rPr>
          <w:rFonts w:hint="eastAsia" w:ascii="宋体" w:hAnsi="宋体" w:eastAsia="宋体"/>
          <w:sz w:val="24"/>
        </w:rPr>
      </w:pPr>
      <w:r>
        <w:rPr>
          <w:rFonts w:ascii="宋体" w:hAnsi="宋体" w:eastAsia="宋体" w:cs="Arial"/>
          <w:sz w:val="24"/>
        </w:rPr>
        <w:t>验收合格后，采购方在送货单签字确认（送货单为结算凭证之一）；验收不合格的，供应商无条件退换货，相关费用自行承担。</w:t>
      </w:r>
    </w:p>
    <w:p w14:paraId="199179D0">
      <w:pPr>
        <w:pStyle w:val="10"/>
        <w:numPr>
          <w:ilvl w:val="0"/>
          <w:numId w:val="7"/>
        </w:numPr>
        <w:spacing w:before="320" w:after="120" w:line="360" w:lineRule="auto"/>
        <w:ind w:firstLine="57" w:firstLineChars="0"/>
        <w:outlineLvl w:val="1"/>
        <w:rPr>
          <w:rFonts w:hint="eastAsia" w:ascii="宋体" w:hAnsi="宋体" w:eastAsia="宋体" w:cs="Arial"/>
          <w:b/>
          <w:sz w:val="24"/>
        </w:rPr>
      </w:pPr>
      <w:bookmarkStart w:id="13" w:name="heading_18"/>
      <w:r>
        <w:rPr>
          <w:rFonts w:ascii="宋体" w:hAnsi="宋体" w:eastAsia="宋体" w:cs="Arial"/>
          <w:b/>
          <w:sz w:val="24"/>
        </w:rPr>
        <w:t>结算要求</w:t>
      </w:r>
      <w:bookmarkEnd w:id="13"/>
    </w:p>
    <w:p w14:paraId="7CFAD768">
      <w:pPr>
        <w:numPr>
          <w:ilvl w:val="0"/>
          <w:numId w:val="11"/>
        </w:numPr>
        <w:spacing w:before="120" w:after="120" w:line="360" w:lineRule="auto"/>
        <w:ind w:firstLine="482" w:firstLineChars="200"/>
        <w:rPr>
          <w:rFonts w:hint="eastAsia" w:ascii="宋体" w:hAnsi="宋体" w:eastAsia="宋体"/>
          <w:sz w:val="24"/>
        </w:rPr>
      </w:pPr>
      <w:r>
        <w:rPr>
          <w:rFonts w:ascii="宋体" w:hAnsi="宋体" w:eastAsia="宋体" w:cs="Arial"/>
          <w:b/>
          <w:sz w:val="24"/>
        </w:rPr>
        <w:t>结算周期</w:t>
      </w:r>
      <w:r>
        <w:rPr>
          <w:rFonts w:ascii="宋体" w:hAnsi="宋体" w:eastAsia="宋体" w:cs="Arial"/>
          <w:sz w:val="24"/>
        </w:rPr>
        <w:t>：供应商</w:t>
      </w:r>
      <w:r>
        <w:rPr>
          <w:rFonts w:hint="eastAsia" w:ascii="宋体" w:hAnsi="宋体" w:eastAsia="宋体" w:cs="Arial"/>
          <w:sz w:val="24"/>
        </w:rPr>
        <w:t>按要求完成货款核对，在双方对账无误，采购方收到合规等额的发票后20个工作日内付款。</w:t>
      </w:r>
    </w:p>
    <w:p w14:paraId="3E26AF7C">
      <w:pPr>
        <w:numPr>
          <w:ilvl w:val="0"/>
          <w:numId w:val="11"/>
        </w:numPr>
        <w:spacing w:before="120" w:after="120" w:line="360" w:lineRule="auto"/>
        <w:ind w:firstLine="482" w:firstLineChars="200"/>
        <w:rPr>
          <w:rFonts w:hint="eastAsia" w:ascii="宋体" w:hAnsi="宋体" w:eastAsia="宋体"/>
          <w:sz w:val="24"/>
        </w:rPr>
      </w:pPr>
      <w:r>
        <w:rPr>
          <w:rFonts w:ascii="宋体" w:hAnsi="宋体" w:eastAsia="宋体" w:cs="Arial"/>
          <w:b/>
          <w:sz w:val="24"/>
        </w:rPr>
        <w:t>结算依据</w:t>
      </w:r>
      <w:r>
        <w:rPr>
          <w:rFonts w:ascii="宋体" w:hAnsi="宋体" w:eastAsia="宋体" w:cs="Arial"/>
          <w:sz w:val="24"/>
        </w:rPr>
        <w:t>：以采购方签字的送货单、双方核对无误的对账单、合规增值税发票为依据，按</w:t>
      </w:r>
      <w:r>
        <w:rPr>
          <w:rFonts w:ascii="宋体" w:hAnsi="宋体" w:eastAsia="宋体" w:cs="Arial"/>
          <w:b/>
          <w:sz w:val="24"/>
        </w:rPr>
        <w:t>实际配送数量</w:t>
      </w:r>
      <w:r>
        <w:rPr>
          <w:rFonts w:hint="eastAsia" w:ascii="宋体" w:hAnsi="宋体" w:eastAsia="宋体" w:cs="Arial"/>
          <w:b/>
          <w:sz w:val="24"/>
        </w:rPr>
        <w:t>结合</w:t>
      </w:r>
      <w:r>
        <w:rPr>
          <w:rFonts w:ascii="宋体" w:hAnsi="宋体" w:eastAsia="宋体" w:cs="Arial"/>
          <w:b/>
          <w:sz w:val="24"/>
        </w:rPr>
        <w:t>合同约定</w:t>
      </w:r>
      <w:r>
        <w:rPr>
          <w:rFonts w:hint="eastAsia" w:ascii="宋体" w:hAnsi="宋体" w:eastAsia="宋体" w:cs="Arial"/>
          <w:b/>
          <w:sz w:val="24"/>
        </w:rPr>
        <w:t>单价</w:t>
      </w:r>
      <w:r>
        <w:rPr>
          <w:rFonts w:ascii="宋体" w:hAnsi="宋体" w:eastAsia="宋体" w:cs="Arial"/>
          <w:sz w:val="24"/>
        </w:rPr>
        <w:t>结算。</w:t>
      </w:r>
    </w:p>
    <w:p w14:paraId="6D2707E1">
      <w:pPr>
        <w:numPr>
          <w:ilvl w:val="0"/>
          <w:numId w:val="11"/>
        </w:numPr>
        <w:spacing w:before="120" w:after="120" w:line="360" w:lineRule="auto"/>
        <w:ind w:firstLine="482" w:firstLineChars="200"/>
        <w:rPr>
          <w:rFonts w:hint="eastAsia" w:ascii="宋体" w:hAnsi="宋体" w:eastAsia="宋体"/>
          <w:sz w:val="24"/>
        </w:rPr>
      </w:pPr>
      <w:r>
        <w:rPr>
          <w:rFonts w:ascii="宋体" w:hAnsi="宋体" w:eastAsia="宋体" w:cs="Arial"/>
          <w:b/>
          <w:sz w:val="24"/>
        </w:rPr>
        <w:t>付款方式</w:t>
      </w:r>
      <w:r>
        <w:rPr>
          <w:rFonts w:ascii="宋体" w:hAnsi="宋体" w:eastAsia="宋体" w:cs="Arial"/>
          <w:sz w:val="24"/>
        </w:rPr>
        <w:t>：采购方通过银行转账支付至供应商指定账户；供应商账户变更须提前30日书面通知采购方。</w:t>
      </w:r>
    </w:p>
    <w:p w14:paraId="0D6628CB">
      <w:pPr>
        <w:pStyle w:val="10"/>
        <w:numPr>
          <w:ilvl w:val="0"/>
          <w:numId w:val="7"/>
        </w:numPr>
        <w:spacing w:before="320" w:after="120" w:line="360" w:lineRule="auto"/>
        <w:ind w:firstLine="57" w:firstLineChars="0"/>
        <w:outlineLvl w:val="1"/>
        <w:rPr>
          <w:rFonts w:hint="eastAsia" w:ascii="宋体" w:hAnsi="宋体" w:eastAsia="宋体" w:cs="Arial"/>
          <w:b/>
          <w:sz w:val="24"/>
        </w:rPr>
      </w:pPr>
      <w:r>
        <w:rPr>
          <w:rFonts w:hint="eastAsia" w:ascii="宋体" w:hAnsi="宋体" w:eastAsia="宋体" w:cs="Arial"/>
          <w:b/>
          <w:sz w:val="24"/>
        </w:rPr>
        <w:t>履约保证金</w:t>
      </w:r>
    </w:p>
    <w:p w14:paraId="2337B682">
      <w:pPr>
        <w:spacing w:before="120" w:after="120" w:line="360" w:lineRule="auto"/>
        <w:ind w:firstLine="480" w:firstLineChars="200"/>
        <w:rPr>
          <w:rFonts w:hint="eastAsia" w:ascii="宋体" w:hAnsi="宋体" w:eastAsia="宋体" w:cs="Arial"/>
          <w:bCs/>
          <w:sz w:val="24"/>
        </w:rPr>
      </w:pPr>
      <w:r>
        <w:rPr>
          <w:rFonts w:hint="eastAsia" w:ascii="宋体" w:hAnsi="宋体" w:eastAsia="宋体" w:cs="Arial"/>
          <w:bCs/>
          <w:sz w:val="24"/>
        </w:rPr>
        <w:t xml:space="preserve">合同签订之日起 7 个工作日内，中选供应商须向采购方提交人民币 </w:t>
      </w:r>
      <w:r>
        <w:rPr>
          <w:rFonts w:hint="eastAsia" w:ascii="宋体" w:hAnsi="宋体" w:eastAsia="宋体" w:cs="Arial"/>
          <w:b/>
          <w:sz w:val="24"/>
        </w:rPr>
        <w:t>20,000.00 元履约保证金</w:t>
      </w:r>
      <w:r>
        <w:rPr>
          <w:rFonts w:hint="eastAsia" w:ascii="宋体" w:hAnsi="宋体" w:eastAsia="宋体" w:cs="Arial"/>
          <w:bCs/>
          <w:sz w:val="24"/>
        </w:rPr>
        <w:t>。中大餐饮项目按要求提交，康乐园餐饮项目免于提交。具体要求如下：</w:t>
      </w:r>
    </w:p>
    <w:p w14:paraId="2B616CFF">
      <w:pPr>
        <w:numPr>
          <w:ilvl w:val="0"/>
          <w:numId w:val="12"/>
        </w:numPr>
        <w:spacing w:before="120" w:after="120" w:line="360" w:lineRule="auto"/>
        <w:ind w:firstLine="480" w:firstLineChars="200"/>
        <w:rPr>
          <w:rFonts w:hint="eastAsia" w:ascii="宋体" w:hAnsi="宋体" w:eastAsia="宋体" w:cs="Arial"/>
          <w:bCs/>
          <w:sz w:val="24"/>
        </w:rPr>
      </w:pPr>
      <w:r>
        <w:rPr>
          <w:rFonts w:hint="eastAsia" w:ascii="宋体" w:hAnsi="宋体" w:eastAsia="宋体" w:cs="Arial"/>
          <w:bCs/>
          <w:sz w:val="24"/>
        </w:rPr>
        <w:t>履约保证金提交方式：转账；</w:t>
      </w:r>
    </w:p>
    <w:p w14:paraId="539F4F52">
      <w:pPr>
        <w:numPr>
          <w:ilvl w:val="0"/>
          <w:numId w:val="12"/>
        </w:numPr>
        <w:spacing w:before="120" w:after="120" w:line="360" w:lineRule="auto"/>
        <w:ind w:firstLine="480" w:firstLineChars="200"/>
        <w:rPr>
          <w:rFonts w:hint="eastAsia" w:ascii="宋体" w:hAnsi="宋体" w:eastAsia="宋体" w:cs="Arial"/>
          <w:bCs/>
          <w:sz w:val="24"/>
        </w:rPr>
      </w:pPr>
      <w:r>
        <w:rPr>
          <w:rFonts w:hint="eastAsia" w:ascii="宋体" w:hAnsi="宋体" w:eastAsia="宋体" w:cs="Arial"/>
          <w:bCs/>
          <w:sz w:val="24"/>
        </w:rPr>
        <w:t>履约保证金退还说明：详见合同主要条款。</w:t>
      </w:r>
    </w:p>
    <w:p w14:paraId="21B2F114">
      <w:pPr>
        <w:spacing w:before="120" w:after="120" w:line="360" w:lineRule="auto"/>
        <w:ind w:firstLine="480" w:firstLineChars="200"/>
        <w:rPr>
          <w:rFonts w:hint="eastAsia" w:ascii="宋体" w:hAnsi="宋体" w:eastAsia="宋体"/>
          <w:sz w:val="24"/>
        </w:rPr>
      </w:pPr>
    </w:p>
    <w:p w14:paraId="68D76282">
      <w:pPr>
        <w:widowControl/>
        <w:ind w:firstLine="480" w:firstLineChars="200"/>
        <w:rPr>
          <w:rFonts w:hint="eastAsia" w:ascii="宋体" w:hAnsi="宋体" w:eastAsia="宋体"/>
          <w:sz w:val="24"/>
        </w:rPr>
      </w:pPr>
      <w:bookmarkStart w:id="14" w:name="heading_19"/>
      <w:r>
        <w:rPr>
          <w:rFonts w:hint="eastAsia" w:ascii="宋体" w:hAnsi="宋体" w:eastAsia="宋体"/>
          <w:sz w:val="24"/>
        </w:rPr>
        <w:br w:type="page"/>
      </w:r>
    </w:p>
    <w:p w14:paraId="29EAF1B1">
      <w:pPr>
        <w:spacing w:before="380" w:after="140" w:line="360" w:lineRule="auto"/>
        <w:ind w:firstLine="482" w:firstLineChars="200"/>
        <w:jc w:val="center"/>
        <w:outlineLvl w:val="0"/>
        <w:rPr>
          <w:rFonts w:hint="eastAsia" w:ascii="宋体" w:hAnsi="宋体" w:eastAsia="宋体"/>
          <w:sz w:val="24"/>
        </w:rPr>
      </w:pPr>
      <w:r>
        <w:rPr>
          <w:rFonts w:ascii="宋体" w:hAnsi="宋体" w:eastAsia="宋体" w:cs="Arial"/>
          <w:b/>
          <w:sz w:val="24"/>
        </w:rPr>
        <w:t>第三部分 响应文件编制要求</w:t>
      </w:r>
      <w:bookmarkEnd w:id="14"/>
    </w:p>
    <w:p w14:paraId="3546CC52">
      <w:pPr>
        <w:spacing w:before="120" w:after="120" w:line="360" w:lineRule="auto"/>
        <w:ind w:firstLine="480" w:firstLineChars="200"/>
        <w:rPr>
          <w:rFonts w:hint="eastAsia" w:ascii="宋体" w:hAnsi="宋体" w:eastAsia="宋体"/>
          <w:sz w:val="24"/>
        </w:rPr>
      </w:pPr>
      <w:r>
        <w:rPr>
          <w:rFonts w:ascii="宋体" w:hAnsi="宋体" w:eastAsia="宋体" w:cs="Arial"/>
          <w:sz w:val="24"/>
        </w:rPr>
        <w:t>供应商须按本要求编制响应文件，内容完整、真实、有效，未按要求编制的视为无效响应。文件封面须标注“中大餐饮、康乐园餐饮2026年端午粽采购项目响应文件”。</w:t>
      </w:r>
    </w:p>
    <w:p w14:paraId="78194864">
      <w:pPr>
        <w:spacing w:before="120" w:after="120" w:line="360" w:lineRule="auto"/>
        <w:ind w:firstLine="480" w:firstLineChars="200"/>
        <w:rPr>
          <w:rFonts w:hint="eastAsia" w:ascii="宋体" w:hAnsi="宋体" w:eastAsia="宋体"/>
          <w:sz w:val="24"/>
        </w:rPr>
      </w:pPr>
      <w:r>
        <w:rPr>
          <w:rFonts w:ascii="宋体" w:hAnsi="宋体" w:eastAsia="宋体" w:cs="Arial"/>
          <w:sz w:val="24"/>
        </w:rPr>
        <w:t>响应文件包含</w:t>
      </w:r>
      <w:r>
        <w:rPr>
          <w:rFonts w:ascii="宋体" w:hAnsi="宋体" w:eastAsia="宋体" w:cs="Arial"/>
          <w:b/>
          <w:sz w:val="24"/>
        </w:rPr>
        <w:t>资质文件、商务技术文件、价格文件</w:t>
      </w:r>
      <w:r>
        <w:rPr>
          <w:rFonts w:ascii="宋体" w:hAnsi="宋体" w:eastAsia="宋体" w:cs="Arial"/>
          <w:sz w:val="24"/>
        </w:rPr>
        <w:t>三部分，均须加盖供应商公章，三部分内容不得交叉混放。</w:t>
      </w:r>
    </w:p>
    <w:p w14:paraId="7CFB2607">
      <w:pPr>
        <w:pStyle w:val="10"/>
        <w:numPr>
          <w:ilvl w:val="0"/>
          <w:numId w:val="13"/>
        </w:numPr>
        <w:spacing w:before="320" w:after="120" w:line="360" w:lineRule="auto"/>
        <w:ind w:firstLine="57" w:firstLineChars="0"/>
        <w:outlineLvl w:val="1"/>
        <w:rPr>
          <w:rFonts w:hint="eastAsia" w:ascii="宋体" w:hAnsi="宋体" w:eastAsia="宋体" w:cs="Arial"/>
          <w:b/>
          <w:sz w:val="24"/>
        </w:rPr>
      </w:pPr>
      <w:bookmarkStart w:id="15" w:name="heading_20"/>
      <w:r>
        <w:rPr>
          <w:rFonts w:ascii="宋体" w:hAnsi="宋体" w:eastAsia="宋体" w:cs="Arial"/>
          <w:b/>
          <w:sz w:val="24"/>
        </w:rPr>
        <w:t>资质文件部分</w:t>
      </w:r>
      <w:bookmarkEnd w:id="15"/>
    </w:p>
    <w:p w14:paraId="49EEC491">
      <w:pPr>
        <w:numPr>
          <w:ilvl w:val="0"/>
          <w:numId w:val="14"/>
        </w:numPr>
        <w:spacing w:before="120" w:after="120" w:line="360" w:lineRule="auto"/>
        <w:ind w:firstLine="480" w:firstLineChars="200"/>
        <w:rPr>
          <w:rFonts w:hint="eastAsia" w:ascii="宋体" w:hAnsi="宋体" w:eastAsia="宋体"/>
          <w:sz w:val="24"/>
        </w:rPr>
      </w:pPr>
      <w:r>
        <w:rPr>
          <w:rFonts w:ascii="宋体" w:hAnsi="宋体" w:eastAsia="宋体" w:cs="Arial"/>
          <w:sz w:val="24"/>
        </w:rPr>
        <w:t>响应文件清单及页码索引（单独列明）；</w:t>
      </w:r>
    </w:p>
    <w:p w14:paraId="67F7C969">
      <w:pPr>
        <w:numPr>
          <w:ilvl w:val="0"/>
          <w:numId w:val="14"/>
        </w:numPr>
        <w:spacing w:before="120" w:after="120" w:line="360" w:lineRule="auto"/>
        <w:ind w:firstLine="480" w:firstLineChars="200"/>
        <w:rPr>
          <w:rFonts w:hint="eastAsia" w:ascii="宋体" w:hAnsi="宋体" w:eastAsia="宋体"/>
          <w:sz w:val="24"/>
        </w:rPr>
      </w:pPr>
      <w:r>
        <w:rPr>
          <w:rFonts w:ascii="宋体" w:hAnsi="宋体" w:eastAsia="宋体" w:cs="Arial"/>
          <w:sz w:val="24"/>
        </w:rPr>
        <w:t>法定代表人身份证明及身份证复印件（附件1）；</w:t>
      </w:r>
    </w:p>
    <w:p w14:paraId="27F6C013">
      <w:pPr>
        <w:numPr>
          <w:ilvl w:val="0"/>
          <w:numId w:val="14"/>
        </w:numPr>
        <w:spacing w:before="120" w:after="120" w:line="360" w:lineRule="auto"/>
        <w:ind w:firstLine="480" w:firstLineChars="200"/>
        <w:rPr>
          <w:rFonts w:hint="eastAsia" w:ascii="宋体" w:hAnsi="宋体" w:eastAsia="宋体"/>
          <w:sz w:val="24"/>
        </w:rPr>
      </w:pPr>
      <w:r>
        <w:rPr>
          <w:rFonts w:ascii="宋体" w:hAnsi="宋体" w:eastAsia="宋体" w:cs="Arial"/>
          <w:sz w:val="24"/>
        </w:rPr>
        <w:t>法定代表人授权委托书及受委托人身份证复印件（附件2，法人亲自参与无需提供）；</w:t>
      </w:r>
    </w:p>
    <w:p w14:paraId="40336734">
      <w:pPr>
        <w:numPr>
          <w:ilvl w:val="0"/>
          <w:numId w:val="14"/>
        </w:numPr>
        <w:spacing w:before="120" w:after="120" w:line="360" w:lineRule="auto"/>
        <w:ind w:firstLine="480" w:firstLineChars="200"/>
        <w:rPr>
          <w:rFonts w:hint="eastAsia" w:ascii="宋体" w:hAnsi="宋体" w:eastAsia="宋体"/>
          <w:sz w:val="24"/>
        </w:rPr>
      </w:pPr>
      <w:r>
        <w:rPr>
          <w:rFonts w:ascii="宋体" w:hAnsi="宋体" w:eastAsia="宋体" w:cs="Arial"/>
          <w:sz w:val="24"/>
        </w:rPr>
        <w:t>有效营业执照复印件；</w:t>
      </w:r>
    </w:p>
    <w:p w14:paraId="0F0B089D">
      <w:pPr>
        <w:numPr>
          <w:ilvl w:val="0"/>
          <w:numId w:val="14"/>
        </w:numPr>
        <w:spacing w:before="120" w:after="120" w:line="360" w:lineRule="auto"/>
        <w:ind w:firstLine="480" w:firstLineChars="200"/>
        <w:rPr>
          <w:rFonts w:hint="eastAsia" w:ascii="宋体" w:hAnsi="宋体" w:eastAsia="宋体"/>
          <w:sz w:val="24"/>
        </w:rPr>
      </w:pPr>
      <w:r>
        <w:rPr>
          <w:rFonts w:ascii="宋体" w:hAnsi="宋体" w:eastAsia="宋体" w:cs="Arial"/>
          <w:sz w:val="24"/>
        </w:rPr>
        <w:t>食品经营许可证/食品生产许可证</w:t>
      </w:r>
      <w:r>
        <w:rPr>
          <w:rFonts w:hint="eastAsia" w:ascii="宋体" w:hAnsi="宋体" w:eastAsia="宋体" w:cs="Arial"/>
          <w:sz w:val="24"/>
        </w:rPr>
        <w:t>/仅销售预包装食品经营者备案信息采集表</w:t>
      </w:r>
      <w:r>
        <w:rPr>
          <w:rFonts w:ascii="宋体" w:hAnsi="宋体" w:eastAsia="宋体" w:cs="Arial"/>
          <w:sz w:val="24"/>
        </w:rPr>
        <w:t>复印件；</w:t>
      </w:r>
    </w:p>
    <w:p w14:paraId="355636E4">
      <w:pPr>
        <w:numPr>
          <w:ilvl w:val="0"/>
          <w:numId w:val="14"/>
        </w:numPr>
        <w:spacing w:before="120" w:after="120" w:line="360" w:lineRule="auto"/>
        <w:ind w:firstLine="480" w:firstLineChars="200"/>
        <w:rPr>
          <w:rFonts w:hint="eastAsia" w:ascii="宋体" w:hAnsi="宋体" w:eastAsia="宋体"/>
          <w:sz w:val="24"/>
        </w:rPr>
      </w:pPr>
      <w:r>
        <w:rPr>
          <w:rFonts w:hint="eastAsia" w:ascii="宋体" w:hAnsi="宋体" w:eastAsia="宋体" w:cs="Arial"/>
          <w:sz w:val="24"/>
        </w:rPr>
        <w:t>非生产商须提供所投品牌产品生产厂商的营业执照、食品生产许可证和委托经销证明。</w:t>
      </w:r>
    </w:p>
    <w:p w14:paraId="4784AA16">
      <w:pPr>
        <w:numPr>
          <w:ilvl w:val="0"/>
          <w:numId w:val="14"/>
        </w:numPr>
        <w:spacing w:before="120" w:after="120" w:line="360" w:lineRule="auto"/>
        <w:ind w:firstLine="480" w:firstLineChars="200"/>
        <w:rPr>
          <w:rFonts w:hint="eastAsia" w:ascii="宋体" w:hAnsi="宋体" w:eastAsia="宋体"/>
          <w:sz w:val="24"/>
        </w:rPr>
      </w:pPr>
      <w:r>
        <w:rPr>
          <w:rFonts w:hint="eastAsia" w:ascii="宋体" w:hAnsi="宋体" w:eastAsia="宋体" w:cs="Arial"/>
          <w:sz w:val="24"/>
        </w:rPr>
        <w:t>未被列入“信用中国”网站（www.creditchina.gov.cn）失信被执行人、重大税收违法失信主体名单，未处于中国政府采购网（www.ccgp.gov.cn）政府采购严重违法失信行为信息记录禁止期内；分公司响应的同步核查总公司信用，总公司有不良记录视同供应商存在不良记录（以采购方响应截止日查询结果为准）。</w:t>
      </w:r>
    </w:p>
    <w:p w14:paraId="477DDEFD">
      <w:pPr>
        <w:pStyle w:val="10"/>
        <w:numPr>
          <w:ilvl w:val="0"/>
          <w:numId w:val="13"/>
        </w:numPr>
        <w:spacing w:before="320" w:after="120" w:line="360" w:lineRule="auto"/>
        <w:ind w:firstLine="57" w:firstLineChars="0"/>
        <w:outlineLvl w:val="1"/>
        <w:rPr>
          <w:rFonts w:hint="eastAsia" w:ascii="宋体" w:hAnsi="宋体" w:eastAsia="宋体" w:cs="Arial"/>
          <w:b/>
          <w:sz w:val="24"/>
        </w:rPr>
      </w:pPr>
      <w:bookmarkStart w:id="16" w:name="heading_21"/>
      <w:r>
        <w:rPr>
          <w:rFonts w:ascii="宋体" w:hAnsi="宋体" w:eastAsia="宋体" w:cs="Arial"/>
          <w:b/>
          <w:sz w:val="24"/>
        </w:rPr>
        <w:t>商务技术文件部分</w:t>
      </w:r>
      <w:bookmarkEnd w:id="16"/>
    </w:p>
    <w:p w14:paraId="42E07750">
      <w:pPr>
        <w:numPr>
          <w:ilvl w:val="0"/>
          <w:numId w:val="15"/>
        </w:numPr>
        <w:spacing w:before="120" w:after="120" w:line="360" w:lineRule="auto"/>
        <w:ind w:firstLine="482" w:firstLineChars="200"/>
        <w:rPr>
          <w:rFonts w:hint="eastAsia" w:ascii="宋体" w:hAnsi="宋体" w:eastAsia="宋体"/>
          <w:sz w:val="24"/>
        </w:rPr>
      </w:pPr>
      <w:r>
        <w:rPr>
          <w:rFonts w:hint="eastAsia" w:ascii="宋体" w:hAnsi="宋体" w:eastAsia="宋体"/>
          <w:b/>
          <w:bCs/>
          <w:sz w:val="24"/>
        </w:rPr>
        <w:t>企业荣誉</w:t>
      </w:r>
      <w:r>
        <w:rPr>
          <w:rFonts w:hint="eastAsia" w:ascii="宋体" w:hAnsi="宋体" w:eastAsia="宋体"/>
          <w:sz w:val="24"/>
        </w:rPr>
        <w:t>：提供奖项主办部门颁发的申请人企业证明文件。</w:t>
      </w:r>
    </w:p>
    <w:p w14:paraId="384E0504">
      <w:pPr>
        <w:numPr>
          <w:ilvl w:val="0"/>
          <w:numId w:val="15"/>
        </w:numPr>
        <w:spacing w:before="120" w:after="120" w:line="360" w:lineRule="auto"/>
        <w:ind w:firstLine="482" w:firstLineChars="200"/>
        <w:rPr>
          <w:rFonts w:hint="eastAsia" w:ascii="宋体" w:hAnsi="宋体" w:eastAsia="宋体"/>
          <w:sz w:val="24"/>
        </w:rPr>
      </w:pPr>
      <w:r>
        <w:rPr>
          <w:rFonts w:ascii="宋体" w:hAnsi="宋体" w:eastAsia="宋体" w:cs="Arial"/>
          <w:b/>
          <w:sz w:val="24"/>
        </w:rPr>
        <w:t>同类项目业绩经验</w:t>
      </w:r>
      <w:r>
        <w:rPr>
          <w:rFonts w:ascii="宋体" w:hAnsi="宋体" w:eastAsia="宋体" w:cs="Arial"/>
          <w:sz w:val="24"/>
        </w:rPr>
        <w:t>：202</w:t>
      </w:r>
      <w:r>
        <w:rPr>
          <w:rFonts w:hint="eastAsia" w:ascii="宋体" w:hAnsi="宋体" w:eastAsia="宋体" w:cs="Arial"/>
          <w:sz w:val="24"/>
        </w:rPr>
        <w:t>3</w:t>
      </w:r>
      <w:r>
        <w:rPr>
          <w:rFonts w:ascii="宋体" w:hAnsi="宋体" w:eastAsia="宋体" w:cs="Arial"/>
          <w:sz w:val="24"/>
        </w:rPr>
        <w:t>年1月1日至今食品类物资配送/销售业绩一览表（附件</w:t>
      </w:r>
      <w:r>
        <w:rPr>
          <w:rFonts w:hint="eastAsia" w:ascii="宋体" w:hAnsi="宋体" w:eastAsia="宋体" w:cs="Arial"/>
          <w:sz w:val="24"/>
        </w:rPr>
        <w:t>3</w:t>
      </w:r>
      <w:r>
        <w:rPr>
          <w:rFonts w:ascii="宋体" w:hAnsi="宋体" w:eastAsia="宋体" w:cs="Arial"/>
          <w:sz w:val="24"/>
        </w:rPr>
        <w:t>）+业绩合同关键页复印件（合同首页、服务内容、金额、盖章页）；</w:t>
      </w:r>
    </w:p>
    <w:p w14:paraId="242332D6">
      <w:pPr>
        <w:numPr>
          <w:ilvl w:val="0"/>
          <w:numId w:val="15"/>
        </w:numPr>
        <w:spacing w:before="120" w:after="120" w:line="360" w:lineRule="auto"/>
        <w:ind w:firstLine="482" w:firstLineChars="200"/>
        <w:rPr>
          <w:rFonts w:hint="eastAsia" w:ascii="宋体" w:hAnsi="宋体" w:eastAsia="宋体"/>
          <w:sz w:val="24"/>
        </w:rPr>
      </w:pPr>
      <w:r>
        <w:rPr>
          <w:rFonts w:ascii="宋体" w:hAnsi="宋体" w:eastAsia="宋体" w:cs="Arial"/>
          <w:b/>
          <w:sz w:val="24"/>
        </w:rPr>
        <w:t>企业仓储规模</w:t>
      </w:r>
      <w:r>
        <w:rPr>
          <w:rFonts w:ascii="宋体" w:hAnsi="宋体" w:eastAsia="宋体" w:cs="Arial"/>
          <w:sz w:val="24"/>
        </w:rPr>
        <w:t>：</w:t>
      </w:r>
      <w:r>
        <w:rPr>
          <w:rFonts w:hint="eastAsia" w:ascii="宋体" w:hAnsi="宋体" w:eastAsia="宋体" w:cs="Arial"/>
          <w:sz w:val="24"/>
        </w:rPr>
        <w:t>①自有仓库：提供加盖供应商公章的仓库产权（所有权人须为供应商法定代表人）证明复印件、仓库平面图复印件、3张仓库实拍图片；②租赁仓库：提供供应商的承租合同复印件、仓库平面图复印件、3张仓库实拍图片。</w:t>
      </w:r>
      <w:r>
        <w:rPr>
          <w:rFonts w:hint="eastAsia" w:ascii="宋体" w:hAnsi="宋体" w:eastAsia="宋体"/>
          <w:sz w:val="24"/>
        </w:rPr>
        <w:t xml:space="preserve"> </w:t>
      </w:r>
    </w:p>
    <w:p w14:paraId="7562010C">
      <w:pPr>
        <w:numPr>
          <w:ilvl w:val="0"/>
          <w:numId w:val="15"/>
        </w:numPr>
        <w:spacing w:before="120" w:after="120" w:line="360" w:lineRule="auto"/>
        <w:ind w:firstLine="482" w:firstLineChars="200"/>
        <w:rPr>
          <w:rFonts w:hint="eastAsia" w:ascii="宋体" w:hAnsi="宋体" w:eastAsia="宋体"/>
          <w:sz w:val="24"/>
        </w:rPr>
      </w:pPr>
      <w:r>
        <w:rPr>
          <w:rFonts w:ascii="宋体" w:hAnsi="宋体" w:eastAsia="宋体" w:cs="Arial"/>
          <w:b/>
          <w:sz w:val="24"/>
        </w:rPr>
        <w:t>配送服务方案</w:t>
      </w:r>
      <w:r>
        <w:rPr>
          <w:rFonts w:ascii="宋体" w:hAnsi="宋体" w:eastAsia="宋体" w:cs="Arial"/>
          <w:sz w:val="24"/>
        </w:rPr>
        <w:t>：配送制定的详细方案（含路线规划、车辆配置、人员安排、订单处理、温控保鲜、时效保障、加急订单处理</w:t>
      </w:r>
      <w:r>
        <w:rPr>
          <w:rFonts w:hint="eastAsia" w:ascii="宋体" w:hAnsi="宋体" w:eastAsia="宋体" w:cs="Arial"/>
          <w:sz w:val="24"/>
        </w:rPr>
        <w:t>、配送车辆每周清洁消毒记录</w:t>
      </w:r>
      <w:r>
        <w:rPr>
          <w:rFonts w:ascii="宋体" w:hAnsi="宋体" w:eastAsia="宋体" w:cs="Arial"/>
          <w:sz w:val="24"/>
        </w:rPr>
        <w:t>等）；</w:t>
      </w:r>
    </w:p>
    <w:p w14:paraId="4BCF2A3C">
      <w:pPr>
        <w:numPr>
          <w:ilvl w:val="0"/>
          <w:numId w:val="15"/>
        </w:numPr>
        <w:spacing w:before="120" w:after="120" w:line="360" w:lineRule="auto"/>
        <w:ind w:firstLine="482" w:firstLineChars="200"/>
        <w:rPr>
          <w:rFonts w:hint="eastAsia" w:ascii="宋体" w:hAnsi="宋体" w:eastAsia="宋体"/>
          <w:sz w:val="24"/>
        </w:rPr>
      </w:pPr>
      <w:r>
        <w:rPr>
          <w:rFonts w:ascii="宋体" w:hAnsi="宋体" w:eastAsia="宋体" w:cs="Arial"/>
          <w:b/>
          <w:sz w:val="24"/>
        </w:rPr>
        <w:t>售后服务及退换货方案</w:t>
      </w:r>
      <w:r>
        <w:rPr>
          <w:rFonts w:ascii="宋体" w:hAnsi="宋体" w:eastAsia="宋体" w:cs="Arial"/>
          <w:sz w:val="24"/>
        </w:rPr>
        <w:t>：含质量问题退换货流程、退换货时效、客户反馈机制、投诉处理、食品安全应急处理等；</w:t>
      </w:r>
      <w:r>
        <w:rPr>
          <w:rFonts w:hint="eastAsia" w:ascii="宋体" w:hAnsi="宋体" w:eastAsia="宋体"/>
          <w:sz w:val="24"/>
        </w:rPr>
        <w:t xml:space="preserve"> </w:t>
      </w:r>
    </w:p>
    <w:p w14:paraId="659429D2">
      <w:pPr>
        <w:numPr>
          <w:ilvl w:val="0"/>
          <w:numId w:val="15"/>
        </w:numPr>
        <w:spacing w:before="120" w:after="120" w:line="360" w:lineRule="auto"/>
        <w:ind w:firstLine="482" w:firstLineChars="200"/>
        <w:rPr>
          <w:rFonts w:hint="eastAsia" w:ascii="宋体" w:hAnsi="宋体" w:eastAsia="宋体"/>
          <w:sz w:val="24"/>
        </w:rPr>
      </w:pPr>
      <w:r>
        <w:rPr>
          <w:rFonts w:ascii="宋体" w:hAnsi="宋体" w:eastAsia="宋体" w:cs="Arial"/>
          <w:b/>
          <w:sz w:val="24"/>
        </w:rPr>
        <w:t>质量保障措施及安全控制方案</w:t>
      </w:r>
      <w:r>
        <w:rPr>
          <w:rFonts w:ascii="宋体" w:hAnsi="宋体" w:eastAsia="宋体" w:cs="Arial"/>
          <w:sz w:val="24"/>
        </w:rPr>
        <w:t>：全流程（采购-仓储-运输-配送）质量保障和安全控制方案（含溯源机制、入库检验、仓储管理、运输防护、人员健康管理等）；</w:t>
      </w:r>
      <w:r>
        <w:rPr>
          <w:rFonts w:hint="eastAsia" w:ascii="宋体" w:hAnsi="宋体" w:eastAsia="宋体" w:cs="Arial"/>
          <w:sz w:val="24"/>
        </w:rPr>
        <w:t>含3 年食品安全事故情况说明及承诺函；</w:t>
      </w:r>
    </w:p>
    <w:p w14:paraId="001537F5">
      <w:pPr>
        <w:numPr>
          <w:ilvl w:val="0"/>
          <w:numId w:val="15"/>
        </w:numPr>
        <w:spacing w:before="120" w:after="120" w:line="360" w:lineRule="auto"/>
        <w:ind w:firstLine="482" w:firstLineChars="200"/>
        <w:rPr>
          <w:rFonts w:hint="eastAsia" w:ascii="宋体" w:hAnsi="宋体" w:eastAsia="宋体"/>
          <w:sz w:val="24"/>
        </w:rPr>
      </w:pPr>
      <w:r>
        <w:rPr>
          <w:rFonts w:ascii="宋体" w:hAnsi="宋体" w:eastAsia="宋体" w:cs="Arial"/>
          <w:b/>
          <w:sz w:val="24"/>
        </w:rPr>
        <w:t>投标样板说明</w:t>
      </w:r>
      <w:r>
        <w:rPr>
          <w:rFonts w:ascii="宋体" w:hAnsi="宋体" w:eastAsia="宋体" w:cs="Arial"/>
          <w:sz w:val="24"/>
        </w:rPr>
        <w:t>：投标样板明细表（附件</w:t>
      </w:r>
      <w:r>
        <w:rPr>
          <w:rFonts w:hint="eastAsia" w:ascii="宋体" w:hAnsi="宋体" w:eastAsia="宋体" w:cs="Arial"/>
          <w:sz w:val="24"/>
        </w:rPr>
        <w:t>4</w:t>
      </w:r>
      <w:r>
        <w:rPr>
          <w:rFonts w:ascii="宋体" w:hAnsi="宋体" w:eastAsia="宋体" w:cs="Arial"/>
          <w:sz w:val="24"/>
        </w:rPr>
        <w:t>），承诺样板与实际配送物资一致；</w:t>
      </w:r>
    </w:p>
    <w:p w14:paraId="49105D3D">
      <w:pPr>
        <w:numPr>
          <w:ilvl w:val="0"/>
          <w:numId w:val="15"/>
        </w:numPr>
        <w:spacing w:before="120" w:after="120" w:line="360" w:lineRule="auto"/>
        <w:ind w:firstLine="480" w:firstLineChars="200"/>
        <w:rPr>
          <w:rFonts w:hint="eastAsia" w:ascii="宋体" w:hAnsi="宋体" w:eastAsia="宋体"/>
          <w:sz w:val="24"/>
        </w:rPr>
      </w:pPr>
      <w:r>
        <w:rPr>
          <w:rFonts w:ascii="宋体" w:hAnsi="宋体" w:eastAsia="宋体" w:cs="Arial"/>
          <w:sz w:val="24"/>
        </w:rPr>
        <w:t>供应商认为需要补充的其他商务技术资料。</w:t>
      </w:r>
    </w:p>
    <w:p w14:paraId="13D5BF96">
      <w:pPr>
        <w:pStyle w:val="10"/>
        <w:numPr>
          <w:ilvl w:val="0"/>
          <w:numId w:val="13"/>
        </w:numPr>
        <w:spacing w:before="320" w:after="120" w:line="360" w:lineRule="auto"/>
        <w:ind w:firstLine="57" w:firstLineChars="0"/>
        <w:outlineLvl w:val="1"/>
        <w:rPr>
          <w:rFonts w:hint="eastAsia" w:ascii="宋体" w:hAnsi="宋体" w:eastAsia="宋体" w:cs="Arial"/>
          <w:b/>
          <w:sz w:val="24"/>
        </w:rPr>
      </w:pPr>
      <w:bookmarkStart w:id="17" w:name="heading_22"/>
      <w:r>
        <w:rPr>
          <w:rFonts w:ascii="宋体" w:hAnsi="宋体" w:eastAsia="宋体" w:cs="Arial"/>
          <w:b/>
          <w:sz w:val="24"/>
        </w:rPr>
        <w:t>价格文件部分</w:t>
      </w:r>
      <w:bookmarkEnd w:id="17"/>
    </w:p>
    <w:p w14:paraId="0A23971E">
      <w:pPr>
        <w:numPr>
          <w:ilvl w:val="0"/>
          <w:numId w:val="16"/>
        </w:numPr>
        <w:spacing w:before="120" w:after="120" w:line="360" w:lineRule="auto"/>
        <w:ind w:firstLine="480" w:firstLineChars="200"/>
        <w:rPr>
          <w:rFonts w:hint="eastAsia" w:ascii="宋体" w:hAnsi="宋体" w:eastAsia="宋体"/>
          <w:sz w:val="24"/>
        </w:rPr>
      </w:pPr>
      <w:r>
        <w:rPr>
          <w:rFonts w:ascii="宋体" w:hAnsi="宋体" w:eastAsia="宋体" w:cs="Arial"/>
          <w:sz w:val="24"/>
        </w:rPr>
        <w:t>报价函（附件</w:t>
      </w:r>
      <w:r>
        <w:rPr>
          <w:rFonts w:hint="eastAsia" w:ascii="宋体" w:hAnsi="宋体" w:eastAsia="宋体" w:cs="Arial"/>
          <w:sz w:val="24"/>
        </w:rPr>
        <w:t>5</w:t>
      </w:r>
      <w:r>
        <w:rPr>
          <w:rFonts w:ascii="宋体" w:hAnsi="宋体" w:eastAsia="宋体" w:cs="Arial"/>
          <w:sz w:val="24"/>
        </w:rPr>
        <w:t>）；</w:t>
      </w:r>
    </w:p>
    <w:p w14:paraId="1269012A">
      <w:pPr>
        <w:numPr>
          <w:ilvl w:val="0"/>
          <w:numId w:val="16"/>
        </w:numPr>
        <w:spacing w:before="120" w:after="120" w:line="360" w:lineRule="auto"/>
        <w:ind w:firstLine="480" w:firstLineChars="200"/>
        <w:rPr>
          <w:rFonts w:hint="eastAsia" w:ascii="宋体" w:hAnsi="宋体" w:eastAsia="宋体" w:cs="Arial"/>
          <w:sz w:val="24"/>
        </w:rPr>
      </w:pPr>
      <w:r>
        <w:rPr>
          <w:rFonts w:ascii="宋体" w:hAnsi="宋体" w:eastAsia="宋体" w:cs="Arial"/>
          <w:sz w:val="24"/>
        </w:rPr>
        <w:t>详细报价清单（附件</w:t>
      </w:r>
      <w:r>
        <w:rPr>
          <w:rFonts w:hint="eastAsia" w:ascii="宋体" w:hAnsi="宋体" w:eastAsia="宋体" w:cs="Arial"/>
          <w:sz w:val="24"/>
        </w:rPr>
        <w:t>7</w:t>
      </w:r>
      <w:r>
        <w:rPr>
          <w:rFonts w:ascii="宋体" w:hAnsi="宋体" w:eastAsia="宋体" w:cs="Arial"/>
          <w:sz w:val="24"/>
        </w:rPr>
        <w:t>）。</w:t>
      </w:r>
    </w:p>
    <w:p w14:paraId="615E62A0">
      <w:pPr>
        <w:widowControl/>
        <w:ind w:firstLine="480" w:firstLineChars="200"/>
        <w:rPr>
          <w:rFonts w:hint="eastAsia" w:ascii="宋体" w:hAnsi="宋体" w:eastAsia="宋体"/>
          <w:sz w:val="24"/>
        </w:rPr>
      </w:pPr>
      <w:bookmarkStart w:id="18" w:name="heading_23"/>
      <w:r>
        <w:rPr>
          <w:rFonts w:hint="eastAsia" w:ascii="宋体" w:hAnsi="宋体" w:eastAsia="宋体"/>
          <w:sz w:val="24"/>
        </w:rPr>
        <w:br w:type="page"/>
      </w:r>
    </w:p>
    <w:p w14:paraId="7CFA8111">
      <w:pPr>
        <w:spacing w:before="380" w:after="140" w:line="360" w:lineRule="auto"/>
        <w:ind w:firstLine="482" w:firstLineChars="200"/>
        <w:jc w:val="center"/>
        <w:outlineLvl w:val="0"/>
        <w:rPr>
          <w:rFonts w:hint="eastAsia" w:ascii="宋体" w:hAnsi="宋体" w:eastAsia="宋体"/>
          <w:sz w:val="24"/>
        </w:rPr>
      </w:pPr>
      <w:r>
        <w:rPr>
          <w:rFonts w:ascii="宋体" w:hAnsi="宋体" w:eastAsia="宋体" w:cs="Arial"/>
          <w:b/>
          <w:sz w:val="24"/>
        </w:rPr>
        <w:t>第四部分 评审办法</w:t>
      </w:r>
      <w:bookmarkEnd w:id="18"/>
    </w:p>
    <w:p w14:paraId="31366D6D">
      <w:pPr>
        <w:spacing w:before="120" w:after="120" w:line="360" w:lineRule="auto"/>
        <w:ind w:firstLine="480" w:firstLineChars="200"/>
        <w:rPr>
          <w:rFonts w:hint="eastAsia" w:ascii="宋体" w:hAnsi="宋体" w:eastAsia="宋体"/>
          <w:sz w:val="24"/>
        </w:rPr>
      </w:pPr>
      <w:r>
        <w:rPr>
          <w:rFonts w:ascii="宋体" w:hAnsi="宋体" w:eastAsia="宋体" w:cs="Arial"/>
          <w:sz w:val="24"/>
        </w:rPr>
        <w:t>本次评审采用</w:t>
      </w:r>
      <w:r>
        <w:rPr>
          <w:rFonts w:ascii="宋体" w:hAnsi="宋体" w:eastAsia="宋体" w:cs="Arial"/>
          <w:b/>
          <w:sz w:val="24"/>
        </w:rPr>
        <w:t>综合评分法</w:t>
      </w:r>
      <w:r>
        <w:rPr>
          <w:rFonts w:ascii="宋体" w:hAnsi="宋体" w:eastAsia="宋体" w:cs="Arial"/>
          <w:sz w:val="24"/>
        </w:rPr>
        <w:t>，满分100分，其中</w:t>
      </w:r>
      <w:r>
        <w:rPr>
          <w:rFonts w:ascii="宋体" w:hAnsi="宋体" w:eastAsia="宋体" w:cs="Arial"/>
          <w:b/>
          <w:sz w:val="24"/>
        </w:rPr>
        <w:t>商务技术部分</w:t>
      </w:r>
      <w:r>
        <w:rPr>
          <w:rFonts w:hint="eastAsia" w:ascii="宋体" w:hAnsi="宋体" w:eastAsia="宋体" w:cs="Arial"/>
          <w:b/>
          <w:sz w:val="24"/>
        </w:rPr>
        <w:t>50</w:t>
      </w:r>
      <w:r>
        <w:rPr>
          <w:rFonts w:ascii="宋体" w:hAnsi="宋体" w:eastAsia="宋体" w:cs="Arial"/>
          <w:b/>
          <w:sz w:val="24"/>
        </w:rPr>
        <w:t>分</w:t>
      </w:r>
      <w:r>
        <w:rPr>
          <w:rFonts w:ascii="宋体" w:hAnsi="宋体" w:eastAsia="宋体" w:cs="Arial"/>
          <w:sz w:val="24"/>
        </w:rPr>
        <w:t>，</w:t>
      </w:r>
      <w:r>
        <w:rPr>
          <w:rFonts w:ascii="宋体" w:hAnsi="宋体" w:eastAsia="宋体" w:cs="Arial"/>
          <w:b/>
          <w:sz w:val="24"/>
        </w:rPr>
        <w:t>价格部分</w:t>
      </w:r>
      <w:r>
        <w:rPr>
          <w:rFonts w:hint="eastAsia" w:ascii="宋体" w:hAnsi="宋体" w:eastAsia="宋体" w:cs="Arial"/>
          <w:b/>
          <w:sz w:val="24"/>
        </w:rPr>
        <w:t>50</w:t>
      </w:r>
      <w:r>
        <w:rPr>
          <w:rFonts w:ascii="宋体" w:hAnsi="宋体" w:eastAsia="宋体" w:cs="Arial"/>
          <w:b/>
          <w:sz w:val="24"/>
        </w:rPr>
        <w:t>分</w:t>
      </w:r>
      <w:r>
        <w:rPr>
          <w:rFonts w:ascii="宋体" w:hAnsi="宋体" w:eastAsia="宋体" w:cs="Arial"/>
          <w:sz w:val="24"/>
        </w:rPr>
        <w:t>。</w:t>
      </w:r>
    </w:p>
    <w:p w14:paraId="1010B901">
      <w:pPr>
        <w:spacing w:before="120" w:after="120" w:line="360" w:lineRule="auto"/>
        <w:ind w:firstLine="480" w:firstLineChars="200"/>
        <w:rPr>
          <w:rFonts w:hint="eastAsia" w:ascii="宋体" w:hAnsi="宋体" w:eastAsia="宋体"/>
          <w:sz w:val="24"/>
        </w:rPr>
      </w:pPr>
      <w:r>
        <w:rPr>
          <w:rFonts w:ascii="宋体" w:hAnsi="宋体" w:eastAsia="宋体" w:cs="Arial"/>
          <w:sz w:val="24"/>
        </w:rPr>
        <w:t>评审小组由采购方组建，按公平、公正、择优原则独立评分；</w:t>
      </w:r>
      <w:r>
        <w:rPr>
          <w:rFonts w:ascii="宋体" w:hAnsi="宋体" w:eastAsia="宋体" w:cs="Arial"/>
          <w:b/>
          <w:sz w:val="24"/>
        </w:rPr>
        <w:t>综合得分最高者为中选单位，次高者为备选单位</w:t>
      </w:r>
      <w:r>
        <w:rPr>
          <w:rFonts w:ascii="宋体" w:hAnsi="宋体" w:eastAsia="宋体" w:cs="Arial"/>
          <w:sz w:val="24"/>
        </w:rPr>
        <w:t>；得分相同的，价格部分得分高者优先；价格得分也相同的，同类项目业绩经验得分高者优先。</w:t>
      </w:r>
    </w:p>
    <w:p w14:paraId="6C961D00">
      <w:pPr>
        <w:pStyle w:val="10"/>
        <w:numPr>
          <w:ilvl w:val="0"/>
          <w:numId w:val="17"/>
        </w:numPr>
        <w:spacing w:before="320" w:after="120" w:line="360" w:lineRule="auto"/>
        <w:ind w:firstLine="57" w:firstLineChars="0"/>
        <w:outlineLvl w:val="1"/>
        <w:rPr>
          <w:rFonts w:hint="eastAsia" w:ascii="宋体" w:hAnsi="宋体" w:eastAsia="宋体" w:cs="Arial"/>
          <w:b/>
          <w:sz w:val="24"/>
        </w:rPr>
      </w:pPr>
      <w:bookmarkStart w:id="19" w:name="heading_24"/>
      <w:r>
        <w:rPr>
          <w:rFonts w:ascii="宋体" w:hAnsi="宋体" w:eastAsia="宋体" w:cs="Arial"/>
          <w:b/>
          <w:sz w:val="24"/>
        </w:rPr>
        <w:t>商务技术部分（</w:t>
      </w:r>
      <w:r>
        <w:rPr>
          <w:rFonts w:hint="eastAsia" w:ascii="宋体" w:hAnsi="宋体" w:eastAsia="宋体" w:cs="Arial"/>
          <w:b/>
          <w:sz w:val="24"/>
        </w:rPr>
        <w:t>70</w:t>
      </w:r>
      <w:r>
        <w:rPr>
          <w:rFonts w:ascii="宋体" w:hAnsi="宋体" w:eastAsia="宋体" w:cs="Arial"/>
          <w:b/>
          <w:sz w:val="24"/>
        </w:rPr>
        <w:t>分）</w:t>
      </w:r>
      <w:bookmarkEnd w:id="19"/>
    </w:p>
    <w:p w14:paraId="55E36755">
      <w:pPr>
        <w:spacing w:before="120" w:after="120" w:line="360" w:lineRule="auto"/>
        <w:ind w:firstLine="480" w:firstLineChars="200"/>
        <w:rPr>
          <w:rFonts w:hint="eastAsia" w:ascii="宋体" w:hAnsi="宋体" w:eastAsia="宋体" w:cs="Arial"/>
          <w:sz w:val="24"/>
        </w:rPr>
      </w:pPr>
      <w:r>
        <w:rPr>
          <w:rFonts w:ascii="宋体" w:hAnsi="宋体" w:eastAsia="宋体" w:cs="Arial"/>
          <w:sz w:val="24"/>
        </w:rPr>
        <w:t>本部分评审无有效证明材料/未提供方案的不得分。</w:t>
      </w:r>
    </w:p>
    <w:tbl>
      <w:tblPr>
        <w:tblStyle w:val="6"/>
        <w:tblW w:w="9353"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51"/>
        <w:gridCol w:w="1417"/>
        <w:gridCol w:w="993"/>
        <w:gridCol w:w="6092"/>
      </w:tblGrid>
      <w:tr w14:paraId="2131BFA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10001C19">
            <w:pPr>
              <w:spacing w:before="120" w:after="120" w:line="360" w:lineRule="auto"/>
              <w:jc w:val="center"/>
              <w:rPr>
                <w:rFonts w:hint="eastAsia" w:ascii="宋体" w:hAnsi="宋体" w:eastAsia="宋体"/>
                <w:sz w:val="24"/>
              </w:rPr>
            </w:pPr>
            <w:r>
              <w:rPr>
                <w:rFonts w:ascii="宋体" w:hAnsi="宋体" w:eastAsia="宋体" w:cs="Arial"/>
                <w:sz w:val="24"/>
              </w:rPr>
              <w:t>序号</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6F4293FE">
            <w:pPr>
              <w:spacing w:before="120" w:after="120" w:line="360" w:lineRule="auto"/>
              <w:jc w:val="center"/>
              <w:rPr>
                <w:rFonts w:hint="eastAsia" w:ascii="宋体" w:hAnsi="宋体" w:eastAsia="宋体"/>
                <w:sz w:val="24"/>
              </w:rPr>
            </w:pPr>
            <w:r>
              <w:rPr>
                <w:rFonts w:ascii="宋体" w:hAnsi="宋体" w:eastAsia="宋体" w:cs="Arial"/>
                <w:sz w:val="24"/>
              </w:rPr>
              <w:t>评审指标</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683457DB">
            <w:pPr>
              <w:spacing w:before="120" w:after="120" w:line="360" w:lineRule="auto"/>
              <w:jc w:val="center"/>
              <w:rPr>
                <w:rFonts w:hint="eastAsia" w:ascii="宋体" w:hAnsi="宋体" w:eastAsia="宋体"/>
                <w:sz w:val="24"/>
              </w:rPr>
            </w:pPr>
            <w:r>
              <w:rPr>
                <w:rFonts w:ascii="宋体" w:hAnsi="宋体" w:eastAsia="宋体" w:cs="Arial"/>
                <w:sz w:val="24"/>
              </w:rPr>
              <w:t>分值</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3B1B4BA5">
            <w:pPr>
              <w:spacing w:before="120" w:after="120" w:line="360" w:lineRule="auto"/>
              <w:jc w:val="center"/>
              <w:rPr>
                <w:rFonts w:hint="eastAsia" w:ascii="宋体" w:hAnsi="宋体" w:eastAsia="宋体"/>
                <w:sz w:val="24"/>
              </w:rPr>
            </w:pPr>
            <w:r>
              <w:rPr>
                <w:rFonts w:ascii="宋体" w:hAnsi="宋体" w:eastAsia="宋体" w:cs="Arial"/>
                <w:sz w:val="24"/>
              </w:rPr>
              <w:t>评分标准</w:t>
            </w:r>
          </w:p>
        </w:tc>
      </w:tr>
      <w:tr w14:paraId="63610A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C93154F">
            <w:pPr>
              <w:spacing w:before="120" w:after="120" w:line="360" w:lineRule="auto"/>
              <w:jc w:val="center"/>
              <w:rPr>
                <w:rFonts w:hint="eastAsia" w:ascii="宋体" w:hAnsi="宋体" w:eastAsia="宋体" w:cs="Arial"/>
                <w:sz w:val="24"/>
              </w:rPr>
            </w:pPr>
            <w:r>
              <w:rPr>
                <w:rFonts w:hint="eastAsia" w:ascii="宋体" w:hAnsi="宋体" w:eastAsia="宋体" w:cs="Arial"/>
                <w:sz w:val="24"/>
              </w:rPr>
              <w:t>1</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1A539CA">
            <w:pPr>
              <w:spacing w:before="120" w:after="120" w:line="360" w:lineRule="auto"/>
              <w:jc w:val="center"/>
              <w:rPr>
                <w:rFonts w:hint="eastAsia" w:ascii="宋体" w:hAnsi="宋体" w:eastAsia="宋体" w:cs="Arial"/>
                <w:sz w:val="24"/>
              </w:rPr>
            </w:pPr>
            <w:r>
              <w:rPr>
                <w:rFonts w:hint="eastAsia" w:ascii="宋体" w:hAnsi="宋体" w:eastAsia="宋体" w:cs="Arial"/>
                <w:sz w:val="24"/>
              </w:rPr>
              <w:t>企业荣誉</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3AA6B5CD">
            <w:pPr>
              <w:spacing w:before="120" w:after="120" w:line="360" w:lineRule="auto"/>
              <w:jc w:val="center"/>
              <w:rPr>
                <w:rFonts w:hint="eastAsia" w:ascii="宋体" w:hAnsi="宋体" w:eastAsia="宋体" w:cs="Arial"/>
                <w:sz w:val="24"/>
              </w:rPr>
            </w:pPr>
            <w:r>
              <w:rPr>
                <w:rFonts w:hint="eastAsia" w:ascii="宋体" w:hAnsi="宋体" w:eastAsia="宋体" w:cs="Arial"/>
                <w:sz w:val="24"/>
              </w:rPr>
              <w:t>2</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289954E3">
            <w:pPr>
              <w:widowControl/>
              <w:spacing w:after="0" w:line="240" w:lineRule="auto"/>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2023年1月1日至今，获得如下奖项：每个奖项得0.5分，最高得2分:</w:t>
            </w:r>
          </w:p>
          <w:p w14:paraId="1D5A5E7C">
            <w:pPr>
              <w:widowControl/>
              <w:spacing w:after="0" w:line="240" w:lineRule="auto"/>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1. 市级或以上政府部门颁发的奖项；</w:t>
            </w:r>
          </w:p>
          <w:p w14:paraId="2EE7829B">
            <w:pPr>
              <w:widowControl/>
              <w:spacing w:after="0" w:line="240" w:lineRule="auto"/>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2. 企业或产品获得的行业荣誉；</w:t>
            </w:r>
          </w:p>
          <w:p w14:paraId="028A39B2">
            <w:pPr>
              <w:widowControl/>
              <w:spacing w:after="0" w:line="240" w:lineRule="auto"/>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3. 名牌认证、中华老字号。</w:t>
            </w:r>
          </w:p>
          <w:p w14:paraId="0BD41CC9">
            <w:pPr>
              <w:spacing w:before="120" w:after="120" w:line="360" w:lineRule="auto"/>
              <w:rPr>
                <w:rFonts w:hint="eastAsia" w:ascii="宋体" w:hAnsi="宋体" w:eastAsia="宋体" w:cs="Arial"/>
                <w:sz w:val="24"/>
              </w:rPr>
            </w:pPr>
            <w:r>
              <w:rPr>
                <w:rFonts w:hint="eastAsia" w:ascii="宋体" w:hAnsi="宋体" w:eastAsia="宋体" w:cs="宋体"/>
                <w:color w:val="000000"/>
                <w:kern w:val="0"/>
                <w:sz w:val="24"/>
                <w14:ligatures w14:val="none"/>
              </w:rPr>
              <w:t>注：提供奖项主办部门颁发的申请人企业证明文件复印件，未提供不得分。</w:t>
            </w:r>
          </w:p>
        </w:tc>
      </w:tr>
      <w:tr w14:paraId="7B8075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1CDF01FC">
            <w:pPr>
              <w:spacing w:before="120" w:after="120" w:line="360" w:lineRule="auto"/>
              <w:jc w:val="center"/>
              <w:rPr>
                <w:rFonts w:hint="eastAsia" w:ascii="宋体" w:hAnsi="宋体" w:eastAsia="宋体"/>
                <w:sz w:val="24"/>
              </w:rPr>
            </w:pPr>
            <w:r>
              <w:rPr>
                <w:rFonts w:hint="eastAsia" w:ascii="宋体" w:hAnsi="宋体" w:eastAsia="宋体" w:cs="Arial"/>
                <w:sz w:val="24"/>
              </w:rPr>
              <w:t>2</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325BD646">
            <w:pPr>
              <w:spacing w:before="120" w:after="120" w:line="360" w:lineRule="auto"/>
              <w:jc w:val="center"/>
              <w:rPr>
                <w:rFonts w:hint="eastAsia" w:ascii="宋体" w:hAnsi="宋体" w:eastAsia="宋体"/>
                <w:sz w:val="24"/>
              </w:rPr>
            </w:pPr>
            <w:r>
              <w:rPr>
                <w:rFonts w:ascii="宋体" w:hAnsi="宋体" w:eastAsia="宋体" w:cs="Arial"/>
                <w:sz w:val="24"/>
              </w:rPr>
              <w:t>同类项目业绩经验</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837F7FA">
            <w:pPr>
              <w:spacing w:before="120" w:after="120" w:line="360" w:lineRule="auto"/>
              <w:jc w:val="center"/>
              <w:rPr>
                <w:rFonts w:hint="eastAsia" w:ascii="宋体" w:hAnsi="宋体" w:eastAsia="宋体"/>
                <w:sz w:val="24"/>
              </w:rPr>
            </w:pPr>
            <w:r>
              <w:rPr>
                <w:rFonts w:hint="eastAsia" w:ascii="宋体" w:hAnsi="宋体" w:eastAsia="宋体" w:cs="Arial"/>
                <w:sz w:val="24"/>
              </w:rPr>
              <w:t>8</w:t>
            </w:r>
            <w:r>
              <w:rPr>
                <w:rFonts w:ascii="宋体" w:hAnsi="宋体" w:eastAsia="宋体" w:cs="Arial"/>
                <w:sz w:val="24"/>
              </w:rPr>
              <w:t>分</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6630DC4D">
            <w:pPr>
              <w:spacing w:before="120" w:after="120" w:line="360" w:lineRule="auto"/>
              <w:rPr>
                <w:rFonts w:hint="eastAsia" w:ascii="宋体" w:hAnsi="宋体" w:eastAsia="宋体"/>
                <w:sz w:val="24"/>
              </w:rPr>
            </w:pPr>
            <w:bookmarkStart w:id="20" w:name="OLE_LINK1"/>
            <w:r>
              <w:rPr>
                <w:rFonts w:hint="eastAsia" w:ascii="宋体" w:hAnsi="宋体" w:eastAsia="宋体" w:cs="宋体"/>
                <w:color w:val="000000"/>
                <w:kern w:val="0"/>
                <w:sz w:val="24"/>
                <w14:ligatures w14:val="none"/>
              </w:rPr>
              <w:t>2023年1月1日</w:t>
            </w:r>
            <w:r>
              <w:rPr>
                <w:rFonts w:ascii="宋体" w:hAnsi="宋体" w:eastAsia="宋体" w:cs="Arial"/>
                <w:sz w:val="24"/>
              </w:rPr>
              <w:t>至今，</w:t>
            </w:r>
            <w:bookmarkEnd w:id="20"/>
            <w:r>
              <w:rPr>
                <w:rFonts w:ascii="宋体" w:hAnsi="宋体" w:eastAsia="宋体" w:cs="Arial"/>
                <w:sz w:val="24"/>
              </w:rPr>
              <w:t>每提供1份合作业绩合同得</w:t>
            </w:r>
            <w:r>
              <w:rPr>
                <w:rFonts w:hint="eastAsia" w:ascii="宋体" w:hAnsi="宋体" w:eastAsia="宋体" w:cs="Arial"/>
                <w:sz w:val="24"/>
              </w:rPr>
              <w:t>1</w:t>
            </w:r>
            <w:r>
              <w:rPr>
                <w:rFonts w:ascii="宋体" w:hAnsi="宋体" w:eastAsia="宋体" w:cs="Arial"/>
                <w:sz w:val="24"/>
              </w:rPr>
              <w:t>分，最高</w:t>
            </w:r>
            <w:r>
              <w:rPr>
                <w:rFonts w:hint="eastAsia" w:ascii="宋体" w:hAnsi="宋体" w:eastAsia="宋体" w:cs="Arial"/>
                <w:sz w:val="24"/>
              </w:rPr>
              <w:t>8</w:t>
            </w:r>
            <w:r>
              <w:rPr>
                <w:rFonts w:ascii="宋体" w:hAnsi="宋体" w:eastAsia="宋体" w:cs="Arial"/>
                <w:sz w:val="24"/>
              </w:rPr>
              <w:t>分；（无合同关键页复印件不得分）</w:t>
            </w:r>
            <w:r>
              <w:rPr>
                <w:rFonts w:hint="eastAsia" w:ascii="宋体" w:hAnsi="宋体" w:eastAsia="宋体" w:cs="Arial"/>
                <w:sz w:val="24"/>
              </w:rPr>
              <w:t>同一合作方不同年度的合同只算一份。</w:t>
            </w:r>
          </w:p>
        </w:tc>
      </w:tr>
      <w:tr w14:paraId="7BFD39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A340EAB">
            <w:pPr>
              <w:spacing w:before="120" w:after="120" w:line="360" w:lineRule="auto"/>
              <w:jc w:val="center"/>
              <w:rPr>
                <w:rFonts w:hint="eastAsia" w:ascii="宋体" w:hAnsi="宋体" w:eastAsia="宋体"/>
                <w:sz w:val="24"/>
              </w:rPr>
            </w:pPr>
            <w:r>
              <w:rPr>
                <w:rFonts w:hint="eastAsia" w:ascii="宋体" w:hAnsi="宋体" w:eastAsia="宋体" w:cs="Arial"/>
                <w:sz w:val="24"/>
              </w:rPr>
              <w:t>3</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A237DD5">
            <w:pPr>
              <w:spacing w:before="120" w:after="120" w:line="360" w:lineRule="auto"/>
              <w:jc w:val="center"/>
              <w:rPr>
                <w:rFonts w:hint="eastAsia" w:ascii="宋体" w:hAnsi="宋体" w:eastAsia="宋体"/>
                <w:sz w:val="24"/>
              </w:rPr>
            </w:pPr>
            <w:r>
              <w:rPr>
                <w:rFonts w:ascii="宋体" w:hAnsi="宋体" w:eastAsia="宋体" w:cs="Arial"/>
                <w:sz w:val="24"/>
              </w:rPr>
              <w:t>企业仓储规模</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E9F0157">
            <w:pPr>
              <w:spacing w:before="120" w:after="120" w:line="360" w:lineRule="auto"/>
              <w:jc w:val="center"/>
              <w:rPr>
                <w:rFonts w:hint="eastAsia" w:ascii="宋体" w:hAnsi="宋体" w:eastAsia="宋体"/>
                <w:sz w:val="24"/>
              </w:rPr>
            </w:pPr>
            <w:r>
              <w:rPr>
                <w:rFonts w:hint="eastAsia" w:ascii="宋体" w:hAnsi="宋体" w:eastAsia="宋体" w:cs="Arial"/>
                <w:sz w:val="24"/>
              </w:rPr>
              <w:t>3</w:t>
            </w:r>
            <w:r>
              <w:rPr>
                <w:rFonts w:ascii="宋体" w:hAnsi="宋体" w:eastAsia="宋体" w:cs="Arial"/>
                <w:sz w:val="24"/>
              </w:rPr>
              <w:t>分</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503197C">
            <w:pPr>
              <w:spacing w:before="120" w:after="120" w:line="360" w:lineRule="auto"/>
              <w:jc w:val="center"/>
              <w:rPr>
                <w:rFonts w:hint="eastAsia" w:ascii="宋体" w:hAnsi="宋体" w:eastAsia="宋体" w:cs="Arial"/>
                <w:sz w:val="24"/>
              </w:rPr>
            </w:pPr>
            <w:r>
              <w:rPr>
                <w:rFonts w:ascii="宋体" w:hAnsi="宋体" w:eastAsia="宋体" w:cs="Arial"/>
                <w:sz w:val="24"/>
              </w:rPr>
              <w:t>1.自有</w:t>
            </w:r>
            <w:r>
              <w:rPr>
                <w:rFonts w:hint="eastAsia" w:ascii="宋体" w:hAnsi="宋体" w:eastAsia="宋体" w:cs="Arial"/>
                <w:sz w:val="24"/>
              </w:rPr>
              <w:t>/租赁冷库面积≥500㎡</w:t>
            </w:r>
            <w:r>
              <w:rPr>
                <w:rFonts w:ascii="宋体" w:hAnsi="宋体" w:eastAsia="宋体" w:cs="Arial"/>
                <w:sz w:val="24"/>
              </w:rPr>
              <w:t>：</w:t>
            </w:r>
            <w:r>
              <w:rPr>
                <w:rFonts w:hint="eastAsia" w:ascii="宋体" w:hAnsi="宋体" w:eastAsia="宋体" w:cs="Arial"/>
                <w:sz w:val="24"/>
              </w:rPr>
              <w:t>3</w:t>
            </w:r>
            <w:r>
              <w:rPr>
                <w:rFonts w:ascii="宋体" w:hAnsi="宋体" w:eastAsia="宋体" w:cs="Arial"/>
                <w:sz w:val="24"/>
              </w:rPr>
              <w:t>分；2.</w:t>
            </w:r>
            <w:r>
              <w:rPr>
                <w:rFonts w:hint="eastAsia" w:ascii="宋体" w:hAnsi="宋体" w:eastAsia="宋体" w:cs="Arial"/>
                <w:sz w:val="24"/>
              </w:rPr>
              <w:t>自有/租赁冷库面积200—500（不含）㎡</w:t>
            </w:r>
            <w:r>
              <w:rPr>
                <w:rFonts w:ascii="宋体" w:hAnsi="宋体" w:eastAsia="宋体" w:cs="Arial"/>
                <w:sz w:val="24"/>
              </w:rPr>
              <w:t>：</w:t>
            </w:r>
            <w:r>
              <w:rPr>
                <w:rFonts w:hint="eastAsia" w:ascii="宋体" w:hAnsi="宋体" w:eastAsia="宋体" w:cs="Arial"/>
                <w:sz w:val="24"/>
              </w:rPr>
              <w:t>2</w:t>
            </w:r>
            <w:r>
              <w:rPr>
                <w:rFonts w:ascii="宋体" w:hAnsi="宋体" w:eastAsia="宋体" w:cs="Arial"/>
                <w:sz w:val="24"/>
              </w:rPr>
              <w:t>分；</w:t>
            </w:r>
            <w:r>
              <w:rPr>
                <w:rFonts w:hint="eastAsia" w:ascii="宋体" w:hAnsi="宋体" w:eastAsia="宋体" w:cs="Arial"/>
                <w:sz w:val="24"/>
              </w:rPr>
              <w:t>3.自有/租赁冷库面积</w:t>
            </w:r>
            <w:r>
              <w:rPr>
                <w:rFonts w:ascii="宋体" w:hAnsi="宋体" w:eastAsia="宋体" w:cs="Arial"/>
                <w:sz w:val="24"/>
              </w:rPr>
              <w:t>＜</w:t>
            </w:r>
            <w:r>
              <w:rPr>
                <w:rFonts w:hint="eastAsia" w:ascii="宋体" w:hAnsi="宋体" w:eastAsia="宋体" w:cs="Arial"/>
                <w:sz w:val="24"/>
              </w:rPr>
              <w:t>200㎡</w:t>
            </w:r>
            <w:r>
              <w:rPr>
                <w:rFonts w:ascii="宋体" w:hAnsi="宋体" w:eastAsia="宋体" w:cs="Arial"/>
                <w:sz w:val="24"/>
              </w:rPr>
              <w:t>：</w:t>
            </w:r>
            <w:r>
              <w:rPr>
                <w:rFonts w:hint="eastAsia" w:ascii="宋体" w:hAnsi="宋体" w:eastAsia="宋体" w:cs="Arial"/>
                <w:sz w:val="24"/>
              </w:rPr>
              <w:t>1</w:t>
            </w:r>
            <w:r>
              <w:rPr>
                <w:rFonts w:ascii="宋体" w:hAnsi="宋体" w:eastAsia="宋体" w:cs="Arial"/>
                <w:sz w:val="24"/>
              </w:rPr>
              <w:t>分；</w:t>
            </w:r>
            <w:r>
              <w:rPr>
                <w:rFonts w:hint="eastAsia" w:ascii="宋体" w:hAnsi="宋体" w:eastAsia="宋体" w:cs="Arial"/>
                <w:sz w:val="24"/>
              </w:rPr>
              <w:t>4.面积为0或未提供证明材料得0分。</w:t>
            </w:r>
          </w:p>
          <w:p w14:paraId="62F56A55">
            <w:pPr>
              <w:spacing w:before="120" w:after="120" w:line="360" w:lineRule="auto"/>
              <w:jc w:val="center"/>
              <w:rPr>
                <w:rFonts w:hint="eastAsia" w:ascii="宋体" w:hAnsi="宋体" w:eastAsia="宋体"/>
                <w:sz w:val="24"/>
              </w:rPr>
            </w:pPr>
            <w:r>
              <w:rPr>
                <w:rFonts w:hint="eastAsia" w:ascii="宋体" w:hAnsi="宋体" w:eastAsia="宋体" w:cs="Arial"/>
                <w:sz w:val="24"/>
              </w:rPr>
              <w:t>证明材料：1.自有仓库：提供加盖供应商公章的仓库产权（所有权人须为供应商法定代表人）证明复印件、仓库平面图复印件、3张仓库实拍图片；2.租赁仓库：提供供应商的承租合同复印件、仓库平面图复印件、3张仓库实拍图片。</w:t>
            </w:r>
          </w:p>
        </w:tc>
      </w:tr>
      <w:tr w14:paraId="474064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3C89A464">
            <w:pPr>
              <w:spacing w:before="120" w:after="120" w:line="360" w:lineRule="auto"/>
              <w:jc w:val="center"/>
              <w:rPr>
                <w:rFonts w:hint="eastAsia" w:ascii="宋体" w:hAnsi="宋体" w:eastAsia="宋体"/>
                <w:sz w:val="24"/>
              </w:rPr>
            </w:pPr>
            <w:r>
              <w:rPr>
                <w:rFonts w:hint="eastAsia" w:ascii="宋体" w:hAnsi="宋体" w:eastAsia="宋体" w:cs="Arial"/>
                <w:sz w:val="24"/>
              </w:rPr>
              <w:t>4</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77451E5">
            <w:pPr>
              <w:spacing w:before="120" w:after="120" w:line="360" w:lineRule="auto"/>
              <w:jc w:val="center"/>
              <w:rPr>
                <w:rFonts w:hint="eastAsia" w:ascii="宋体" w:hAnsi="宋体" w:eastAsia="宋体"/>
                <w:sz w:val="24"/>
              </w:rPr>
            </w:pPr>
            <w:r>
              <w:rPr>
                <w:rFonts w:ascii="宋体" w:hAnsi="宋体" w:eastAsia="宋体" w:cs="Arial"/>
                <w:sz w:val="24"/>
              </w:rPr>
              <w:t>配送服务方案</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14766F33">
            <w:pPr>
              <w:spacing w:before="120" w:after="120" w:line="360" w:lineRule="auto"/>
              <w:jc w:val="center"/>
              <w:rPr>
                <w:rFonts w:hint="eastAsia" w:ascii="宋体" w:hAnsi="宋体" w:eastAsia="宋体"/>
                <w:sz w:val="24"/>
              </w:rPr>
            </w:pPr>
            <w:r>
              <w:rPr>
                <w:rFonts w:hint="eastAsia" w:ascii="宋体" w:hAnsi="宋体" w:eastAsia="宋体" w:cs="Arial"/>
                <w:sz w:val="24"/>
              </w:rPr>
              <w:t>6</w:t>
            </w:r>
            <w:r>
              <w:rPr>
                <w:rFonts w:ascii="宋体" w:hAnsi="宋体" w:eastAsia="宋体" w:cs="Arial"/>
                <w:sz w:val="24"/>
              </w:rPr>
              <w:t>分</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1E94A310">
            <w:pPr>
              <w:spacing w:before="120" w:after="120" w:line="360" w:lineRule="auto"/>
              <w:jc w:val="both"/>
              <w:rPr>
                <w:rFonts w:hint="eastAsia" w:ascii="宋体" w:hAnsi="宋体" w:eastAsia="宋体" w:cs="Arial"/>
                <w:sz w:val="24"/>
              </w:rPr>
            </w:pPr>
            <w:r>
              <w:rPr>
                <w:rFonts w:ascii="宋体" w:hAnsi="宋体" w:eastAsia="宋体" w:cs="Arial"/>
                <w:sz w:val="24"/>
              </w:rPr>
              <w:t>优秀（</w:t>
            </w:r>
            <w:r>
              <w:rPr>
                <w:rFonts w:hint="eastAsia" w:ascii="宋体" w:hAnsi="宋体" w:eastAsia="宋体" w:cs="Arial"/>
                <w:sz w:val="24"/>
              </w:rPr>
              <w:t>5-6</w:t>
            </w:r>
            <w:r>
              <w:rPr>
                <w:rFonts w:ascii="宋体" w:hAnsi="宋体" w:eastAsia="宋体" w:cs="Arial"/>
                <w:sz w:val="24"/>
              </w:rPr>
              <w:t>分）：方案完善，配送保障措施具体可行，优于采购需求；良好（</w:t>
            </w:r>
            <w:r>
              <w:rPr>
                <w:rFonts w:hint="eastAsia" w:ascii="宋体" w:hAnsi="宋体" w:eastAsia="宋体" w:cs="Arial"/>
                <w:sz w:val="24"/>
              </w:rPr>
              <w:t>3-4</w:t>
            </w:r>
            <w:r>
              <w:rPr>
                <w:rFonts w:ascii="宋体" w:hAnsi="宋体" w:eastAsia="宋体" w:cs="Arial"/>
                <w:sz w:val="24"/>
              </w:rPr>
              <w:t>分）：方案较完善，保障措施能完全满足采购需求录；一般（</w:t>
            </w:r>
            <w:r>
              <w:rPr>
                <w:rFonts w:hint="eastAsia" w:ascii="宋体" w:hAnsi="宋体" w:eastAsia="宋体" w:cs="Arial"/>
                <w:sz w:val="24"/>
              </w:rPr>
              <w:t>1-2</w:t>
            </w:r>
            <w:r>
              <w:rPr>
                <w:rFonts w:ascii="宋体" w:hAnsi="宋体" w:eastAsia="宋体" w:cs="Arial"/>
                <w:sz w:val="24"/>
              </w:rPr>
              <w:t>分）：方案简略，保障措施不具体，部分满足采购需求</w:t>
            </w:r>
            <w:r>
              <w:rPr>
                <w:rFonts w:hint="eastAsia" w:ascii="宋体" w:hAnsi="宋体" w:eastAsia="宋体" w:cs="Arial"/>
                <w:sz w:val="24"/>
              </w:rPr>
              <w:t>；未提供方案的得0分。</w:t>
            </w:r>
          </w:p>
        </w:tc>
      </w:tr>
      <w:tr w14:paraId="2035FA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C65B541">
            <w:pPr>
              <w:spacing w:before="120" w:after="120" w:line="360" w:lineRule="auto"/>
              <w:jc w:val="center"/>
              <w:rPr>
                <w:rFonts w:hint="eastAsia" w:ascii="宋体" w:hAnsi="宋体" w:eastAsia="宋体"/>
                <w:sz w:val="24"/>
              </w:rPr>
            </w:pPr>
            <w:r>
              <w:rPr>
                <w:rFonts w:hint="eastAsia" w:ascii="宋体" w:hAnsi="宋体" w:eastAsia="宋体" w:cs="Arial"/>
                <w:sz w:val="24"/>
              </w:rP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34E72521">
            <w:pPr>
              <w:spacing w:before="120" w:after="120" w:line="360" w:lineRule="auto"/>
              <w:jc w:val="center"/>
              <w:rPr>
                <w:rFonts w:hint="eastAsia" w:ascii="宋体" w:hAnsi="宋体" w:eastAsia="宋体"/>
                <w:sz w:val="24"/>
              </w:rPr>
            </w:pPr>
            <w:r>
              <w:rPr>
                <w:rFonts w:ascii="宋体" w:hAnsi="宋体" w:eastAsia="宋体" w:cs="Arial"/>
                <w:sz w:val="24"/>
              </w:rPr>
              <w:t>售后服务及退换货方案</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22882467">
            <w:pPr>
              <w:spacing w:before="120" w:after="120" w:line="360" w:lineRule="auto"/>
              <w:jc w:val="center"/>
              <w:rPr>
                <w:rFonts w:hint="eastAsia" w:ascii="宋体" w:hAnsi="宋体" w:eastAsia="宋体"/>
                <w:sz w:val="24"/>
              </w:rPr>
            </w:pPr>
            <w:r>
              <w:rPr>
                <w:rFonts w:hint="eastAsia" w:ascii="宋体" w:hAnsi="宋体" w:eastAsia="宋体" w:cs="Arial"/>
                <w:sz w:val="24"/>
              </w:rPr>
              <w:t>6</w:t>
            </w:r>
            <w:r>
              <w:rPr>
                <w:rFonts w:ascii="宋体" w:hAnsi="宋体" w:eastAsia="宋体" w:cs="Arial"/>
                <w:sz w:val="24"/>
              </w:rPr>
              <w:t>分</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5BE94CD9">
            <w:pPr>
              <w:spacing w:before="120" w:after="120" w:line="360" w:lineRule="auto"/>
              <w:jc w:val="center"/>
              <w:rPr>
                <w:rFonts w:hint="eastAsia" w:ascii="宋体" w:hAnsi="宋体" w:eastAsia="宋体"/>
                <w:sz w:val="24"/>
              </w:rPr>
            </w:pPr>
            <w:r>
              <w:rPr>
                <w:rFonts w:ascii="宋体" w:hAnsi="宋体" w:eastAsia="宋体" w:cs="Arial"/>
                <w:sz w:val="24"/>
              </w:rPr>
              <w:t>优秀（</w:t>
            </w:r>
            <w:r>
              <w:rPr>
                <w:rFonts w:hint="eastAsia" w:ascii="宋体" w:hAnsi="宋体" w:eastAsia="宋体" w:cs="Arial"/>
                <w:sz w:val="24"/>
              </w:rPr>
              <w:t>5-6</w:t>
            </w:r>
            <w:r>
              <w:rPr>
                <w:rFonts w:ascii="宋体" w:hAnsi="宋体" w:eastAsia="宋体" w:cs="Arial"/>
                <w:sz w:val="24"/>
              </w:rPr>
              <w:t>分）：方案详细，投诉/应急处理机制完善</w:t>
            </w:r>
            <w:r>
              <w:rPr>
                <w:rFonts w:hint="eastAsia" w:ascii="宋体" w:hAnsi="宋体" w:eastAsia="宋体" w:cs="Arial"/>
                <w:sz w:val="24"/>
              </w:rPr>
              <w:t>，能保障项目的高效实施</w:t>
            </w:r>
            <w:r>
              <w:rPr>
                <w:rFonts w:ascii="宋体" w:hAnsi="宋体" w:eastAsia="宋体" w:cs="Arial"/>
                <w:sz w:val="24"/>
              </w:rPr>
              <w:t>；良好（</w:t>
            </w:r>
            <w:r>
              <w:rPr>
                <w:rFonts w:hint="eastAsia" w:ascii="宋体" w:hAnsi="宋体" w:eastAsia="宋体" w:cs="Arial"/>
                <w:sz w:val="24"/>
              </w:rPr>
              <w:t>3-4</w:t>
            </w:r>
            <w:r>
              <w:rPr>
                <w:rFonts w:ascii="宋体" w:hAnsi="宋体" w:eastAsia="宋体" w:cs="Arial"/>
                <w:sz w:val="24"/>
              </w:rPr>
              <w:t>分）：方案较详细，有基本投诉/应急措施</w:t>
            </w:r>
            <w:r>
              <w:rPr>
                <w:rFonts w:hint="eastAsia" w:ascii="宋体" w:hAnsi="宋体" w:eastAsia="宋体" w:cs="Arial"/>
                <w:sz w:val="24"/>
              </w:rPr>
              <w:t>，较能保障项目的高效实施</w:t>
            </w:r>
            <w:r>
              <w:rPr>
                <w:rFonts w:ascii="宋体" w:hAnsi="宋体" w:eastAsia="宋体" w:cs="Arial"/>
                <w:sz w:val="24"/>
              </w:rPr>
              <w:t>；一般（</w:t>
            </w:r>
            <w:r>
              <w:rPr>
                <w:rFonts w:hint="eastAsia" w:ascii="宋体" w:hAnsi="宋体" w:eastAsia="宋体" w:cs="Arial"/>
                <w:sz w:val="24"/>
              </w:rPr>
              <w:t>1-2</w:t>
            </w:r>
            <w:r>
              <w:rPr>
                <w:rFonts w:ascii="宋体" w:hAnsi="宋体" w:eastAsia="宋体" w:cs="Arial"/>
                <w:sz w:val="24"/>
              </w:rPr>
              <w:t>分）：方案简略，退换货时效长，处理措施不完善</w:t>
            </w:r>
            <w:r>
              <w:rPr>
                <w:rFonts w:hint="eastAsia" w:ascii="宋体" w:hAnsi="宋体" w:eastAsia="宋体" w:cs="Arial"/>
                <w:sz w:val="24"/>
              </w:rPr>
              <w:t>，保障项目的实施程度低</w:t>
            </w:r>
            <w:r>
              <w:rPr>
                <w:rFonts w:ascii="宋体" w:hAnsi="宋体" w:eastAsia="宋体" w:cs="Arial"/>
                <w:sz w:val="24"/>
              </w:rPr>
              <w:t>；</w:t>
            </w:r>
            <w:r>
              <w:rPr>
                <w:rFonts w:hint="eastAsia" w:ascii="宋体" w:hAnsi="宋体" w:eastAsia="宋体" w:cs="Arial"/>
                <w:sz w:val="24"/>
              </w:rPr>
              <w:t>未提供方案的得0分。</w:t>
            </w:r>
          </w:p>
        </w:tc>
      </w:tr>
      <w:tr w14:paraId="647343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51E9E9A3">
            <w:pPr>
              <w:spacing w:before="120" w:after="120" w:line="360" w:lineRule="auto"/>
              <w:jc w:val="center"/>
              <w:rPr>
                <w:rFonts w:hint="eastAsia" w:ascii="宋体" w:hAnsi="宋体" w:eastAsia="宋体"/>
                <w:sz w:val="24"/>
              </w:rPr>
            </w:pPr>
            <w:r>
              <w:rPr>
                <w:rFonts w:hint="eastAsia" w:ascii="宋体" w:hAnsi="宋体" w:eastAsia="宋体" w:cs="Arial"/>
                <w:sz w:val="24"/>
              </w:rPr>
              <w:t>6</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15B5017C">
            <w:pPr>
              <w:spacing w:before="120" w:after="120" w:line="360" w:lineRule="auto"/>
              <w:jc w:val="center"/>
              <w:rPr>
                <w:rFonts w:hint="eastAsia" w:ascii="宋体" w:hAnsi="宋体" w:eastAsia="宋体"/>
                <w:sz w:val="24"/>
              </w:rPr>
            </w:pPr>
            <w:r>
              <w:rPr>
                <w:rFonts w:ascii="宋体" w:hAnsi="宋体" w:eastAsia="宋体" w:cs="Arial"/>
                <w:sz w:val="24"/>
              </w:rPr>
              <w:t>质量保障措施及安全控制方案</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5C06C1C5">
            <w:pPr>
              <w:spacing w:before="120" w:after="120" w:line="360" w:lineRule="auto"/>
              <w:jc w:val="center"/>
              <w:rPr>
                <w:rFonts w:hint="eastAsia" w:ascii="宋体" w:hAnsi="宋体" w:eastAsia="宋体"/>
                <w:sz w:val="24"/>
              </w:rPr>
            </w:pPr>
            <w:r>
              <w:rPr>
                <w:rFonts w:hint="eastAsia" w:ascii="宋体" w:hAnsi="宋体" w:eastAsia="宋体" w:cs="Arial"/>
                <w:sz w:val="24"/>
              </w:rPr>
              <w:t>10</w:t>
            </w:r>
            <w:r>
              <w:rPr>
                <w:rFonts w:ascii="宋体" w:hAnsi="宋体" w:eastAsia="宋体" w:cs="Arial"/>
                <w:sz w:val="24"/>
              </w:rPr>
              <w:t>分</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0A448699">
            <w:pPr>
              <w:spacing w:before="120" w:after="120" w:line="360" w:lineRule="auto"/>
              <w:jc w:val="center"/>
              <w:rPr>
                <w:rFonts w:hint="eastAsia" w:ascii="宋体" w:hAnsi="宋体" w:eastAsia="宋体" w:cs="Arial"/>
                <w:sz w:val="24"/>
              </w:rPr>
            </w:pPr>
            <w:r>
              <w:rPr>
                <w:rFonts w:ascii="宋体" w:hAnsi="宋体" w:eastAsia="宋体" w:cs="Arial"/>
                <w:sz w:val="24"/>
              </w:rPr>
              <w:t>优秀（</w:t>
            </w:r>
            <w:r>
              <w:rPr>
                <w:rFonts w:hint="eastAsia" w:ascii="宋体" w:hAnsi="宋体" w:eastAsia="宋体" w:cs="Arial"/>
                <w:sz w:val="24"/>
              </w:rPr>
              <w:t>9-10</w:t>
            </w:r>
            <w:r>
              <w:rPr>
                <w:rFonts w:ascii="宋体" w:hAnsi="宋体" w:eastAsia="宋体" w:cs="Arial"/>
                <w:sz w:val="24"/>
              </w:rPr>
              <w:t>分）：方案覆盖全流程，溯源/检验/管理规范完善，措施具体；良好（</w:t>
            </w:r>
            <w:r>
              <w:rPr>
                <w:rFonts w:hint="eastAsia" w:ascii="宋体" w:hAnsi="宋体" w:eastAsia="宋体" w:cs="Arial"/>
                <w:sz w:val="24"/>
              </w:rPr>
              <w:t>6-8</w:t>
            </w:r>
            <w:r>
              <w:rPr>
                <w:rFonts w:ascii="宋体" w:hAnsi="宋体" w:eastAsia="宋体" w:cs="Arial"/>
                <w:sz w:val="24"/>
              </w:rPr>
              <w:t>分）：方案覆盖主要环节，有基本质量控制措施；一般（</w:t>
            </w:r>
            <w:r>
              <w:rPr>
                <w:rFonts w:hint="eastAsia" w:ascii="宋体" w:hAnsi="宋体" w:eastAsia="宋体" w:cs="Arial"/>
                <w:sz w:val="24"/>
              </w:rPr>
              <w:t>1-5</w:t>
            </w:r>
            <w:r>
              <w:rPr>
                <w:rFonts w:ascii="宋体" w:hAnsi="宋体" w:eastAsia="宋体" w:cs="Arial"/>
                <w:sz w:val="24"/>
              </w:rPr>
              <w:t>分）：方案简略，仅覆盖部分环节，措施不具体；</w:t>
            </w:r>
            <w:r>
              <w:rPr>
                <w:rFonts w:hint="eastAsia" w:ascii="宋体" w:hAnsi="宋体" w:eastAsia="宋体" w:cs="Arial"/>
                <w:sz w:val="24"/>
              </w:rPr>
              <w:t>未提供方案的得0分。</w:t>
            </w:r>
          </w:p>
          <w:p w14:paraId="01EC61DE">
            <w:pPr>
              <w:spacing w:before="120" w:after="120" w:line="360" w:lineRule="auto"/>
              <w:rPr>
                <w:rFonts w:hint="eastAsia" w:ascii="宋体" w:hAnsi="宋体" w:eastAsia="宋体"/>
                <w:sz w:val="24"/>
              </w:rPr>
            </w:pPr>
            <w:r>
              <w:rPr>
                <w:rFonts w:hint="eastAsia" w:ascii="宋体" w:hAnsi="宋体" w:eastAsia="宋体" w:cs="Arial"/>
                <w:sz w:val="24"/>
              </w:rPr>
              <w:t>负面扣分：供应商近 3 年内发生一般食品安全事故、或被市场监管部门因食品安全问题行政处罚的，每出现 1 次扣 5 分，扣至基础分为 0 为止。证明材料：提供加盖供应商公章的3 年食品安全事故情况说明及承诺函（详见附件6）。</w:t>
            </w:r>
          </w:p>
        </w:tc>
      </w:tr>
      <w:tr w14:paraId="68791C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5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34F78536">
            <w:pPr>
              <w:spacing w:before="120" w:after="120" w:line="360" w:lineRule="auto"/>
              <w:jc w:val="center"/>
              <w:rPr>
                <w:rFonts w:hint="eastAsia" w:ascii="宋体" w:hAnsi="宋体" w:eastAsia="宋体"/>
                <w:sz w:val="24"/>
              </w:rPr>
            </w:pPr>
            <w:r>
              <w:rPr>
                <w:rFonts w:hint="eastAsia" w:ascii="宋体" w:hAnsi="宋体" w:eastAsia="宋体" w:cs="Arial"/>
                <w:sz w:val="24"/>
              </w:rPr>
              <w:t>7</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16BE38CB">
            <w:pPr>
              <w:spacing w:before="120" w:after="120" w:line="360" w:lineRule="auto"/>
              <w:jc w:val="center"/>
              <w:rPr>
                <w:rFonts w:hint="eastAsia" w:ascii="宋体" w:hAnsi="宋体" w:eastAsia="宋体"/>
                <w:sz w:val="24"/>
              </w:rPr>
            </w:pPr>
            <w:r>
              <w:rPr>
                <w:rFonts w:ascii="宋体" w:hAnsi="宋体" w:eastAsia="宋体" w:cs="Arial"/>
                <w:sz w:val="24"/>
              </w:rPr>
              <w:t>投标样板</w:t>
            </w:r>
          </w:p>
        </w:tc>
        <w:tc>
          <w:tcPr>
            <w:tcW w:w="993"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1A9584DD">
            <w:pPr>
              <w:spacing w:before="120" w:after="120" w:line="360" w:lineRule="auto"/>
              <w:jc w:val="center"/>
              <w:rPr>
                <w:rFonts w:hint="eastAsia" w:ascii="宋体" w:hAnsi="宋体" w:eastAsia="宋体"/>
                <w:sz w:val="24"/>
              </w:rPr>
            </w:pPr>
            <w:r>
              <w:rPr>
                <w:rFonts w:hint="eastAsia" w:ascii="宋体" w:hAnsi="宋体" w:eastAsia="宋体" w:cs="Arial"/>
                <w:sz w:val="24"/>
              </w:rPr>
              <w:t>15</w:t>
            </w:r>
            <w:r>
              <w:rPr>
                <w:rFonts w:ascii="宋体" w:hAnsi="宋体" w:eastAsia="宋体" w:cs="Arial"/>
                <w:sz w:val="24"/>
              </w:rPr>
              <w:t>分</w:t>
            </w:r>
          </w:p>
        </w:tc>
        <w:tc>
          <w:tcPr>
            <w:tcW w:w="609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tcPr>
          <w:p w14:paraId="7516BFD7">
            <w:pPr>
              <w:spacing w:before="120" w:after="120" w:line="360" w:lineRule="auto"/>
              <w:jc w:val="center"/>
              <w:rPr>
                <w:rFonts w:hint="eastAsia" w:ascii="宋体" w:hAnsi="宋体" w:eastAsia="宋体" w:cs="Arial"/>
                <w:sz w:val="24"/>
              </w:rPr>
            </w:pPr>
            <w:r>
              <w:rPr>
                <w:rFonts w:hint="eastAsia" w:ascii="宋体" w:hAnsi="宋体" w:eastAsia="宋体" w:cs="Arial"/>
                <w:sz w:val="24"/>
              </w:rPr>
              <w:t>优秀（12–15 分）：样板齐全，符合采购要求，与需求高度一致；良好（7–11 分）：样板齐全，基本符合采购要求，少量细节偏差；一般（4–6分）：样板不齐全 / 部分不符合采购要求；差（1–3分）：样板严重不符合要求；未提交样板的得0分。</w:t>
            </w:r>
          </w:p>
          <w:p w14:paraId="04CA85BB">
            <w:pPr>
              <w:spacing w:before="120" w:after="120" w:line="360" w:lineRule="auto"/>
              <w:rPr>
                <w:rFonts w:hint="eastAsia" w:ascii="宋体" w:hAnsi="宋体" w:eastAsia="宋体" w:cs="Arial"/>
                <w:sz w:val="24"/>
              </w:rPr>
            </w:pPr>
            <w:r>
              <w:rPr>
                <w:rFonts w:hint="eastAsia" w:ascii="宋体" w:hAnsi="宋体" w:eastAsia="宋体" w:cs="Arial"/>
                <w:sz w:val="24"/>
              </w:rPr>
              <w:t>采购要求：外观：1、咸肉粽：无发黄发黑；2、枧水粽：色泽橙黄，晶莹透亮。口感：1、咸肉粽：糯米黏而不塌，糯而不烂；肥膘油而不腻；精肉瘦而不老；2、枧水粽：糯米黏而不塌，糯而不烂，味甜而不腻。品质：粽叶闻有粽香，品质不干不硬不塌。</w:t>
            </w:r>
          </w:p>
        </w:tc>
      </w:tr>
    </w:tbl>
    <w:p w14:paraId="094E9044">
      <w:pPr>
        <w:pStyle w:val="10"/>
        <w:numPr>
          <w:ilvl w:val="0"/>
          <w:numId w:val="17"/>
        </w:numPr>
        <w:spacing w:before="320" w:after="120" w:line="360" w:lineRule="auto"/>
        <w:ind w:firstLine="57" w:firstLineChars="0"/>
        <w:outlineLvl w:val="1"/>
        <w:rPr>
          <w:rFonts w:hint="eastAsia" w:ascii="宋体" w:hAnsi="宋体" w:eastAsia="宋体" w:cs="Arial"/>
          <w:b/>
          <w:sz w:val="24"/>
        </w:rPr>
      </w:pPr>
      <w:bookmarkStart w:id="21" w:name="heading_25"/>
      <w:r>
        <w:rPr>
          <w:rFonts w:ascii="宋体" w:hAnsi="宋体" w:eastAsia="宋体" w:cs="Arial"/>
          <w:b/>
          <w:sz w:val="24"/>
        </w:rPr>
        <w:t>价格部分（</w:t>
      </w:r>
      <w:r>
        <w:rPr>
          <w:rFonts w:hint="eastAsia" w:ascii="宋体" w:hAnsi="宋体" w:eastAsia="宋体" w:cs="Arial"/>
          <w:b/>
          <w:sz w:val="24"/>
        </w:rPr>
        <w:t>50</w:t>
      </w:r>
      <w:r>
        <w:rPr>
          <w:rFonts w:ascii="宋体" w:hAnsi="宋体" w:eastAsia="宋体" w:cs="Arial"/>
          <w:b/>
          <w:sz w:val="24"/>
        </w:rPr>
        <w:t>分）</w:t>
      </w:r>
      <w:bookmarkEnd w:id="21"/>
    </w:p>
    <w:p w14:paraId="26012BA4">
      <w:pPr>
        <w:spacing w:before="120" w:after="120" w:line="360" w:lineRule="auto"/>
        <w:ind w:firstLine="480" w:firstLineChars="200"/>
        <w:rPr>
          <w:rFonts w:hint="eastAsia" w:ascii="宋体" w:hAnsi="宋体" w:eastAsia="宋体"/>
          <w:sz w:val="24"/>
        </w:rPr>
      </w:pPr>
      <w:r>
        <w:rPr>
          <w:rFonts w:ascii="宋体" w:hAnsi="宋体" w:eastAsia="宋体" w:cs="Arial"/>
          <w:sz w:val="24"/>
        </w:rPr>
        <w:t>价格部分采用</w:t>
      </w:r>
      <w:r>
        <w:rPr>
          <w:rFonts w:ascii="宋体" w:hAnsi="宋体" w:eastAsia="宋体" w:cs="Arial"/>
          <w:b/>
          <w:sz w:val="24"/>
        </w:rPr>
        <w:t>低价优先法</w:t>
      </w:r>
      <w:r>
        <w:rPr>
          <w:rFonts w:ascii="宋体" w:hAnsi="宋体" w:eastAsia="宋体" w:cs="Arial"/>
          <w:sz w:val="24"/>
        </w:rPr>
        <w:t>计算，步骤如下：</w:t>
      </w:r>
    </w:p>
    <w:p w14:paraId="15F3E921">
      <w:pPr>
        <w:numPr>
          <w:ilvl w:val="0"/>
          <w:numId w:val="18"/>
        </w:numPr>
        <w:spacing w:before="120" w:after="120" w:line="360" w:lineRule="auto"/>
        <w:ind w:firstLine="480" w:firstLineChars="200"/>
        <w:rPr>
          <w:rFonts w:hint="eastAsia" w:ascii="宋体" w:hAnsi="宋体" w:eastAsia="宋体"/>
          <w:sz w:val="24"/>
        </w:rPr>
      </w:pPr>
      <w:r>
        <w:rPr>
          <w:rFonts w:ascii="宋体" w:hAnsi="宋体" w:eastAsia="宋体" w:cs="Arial"/>
          <w:sz w:val="24"/>
        </w:rPr>
        <w:t>报价审核</w:t>
      </w:r>
      <w:r>
        <w:rPr>
          <w:rFonts w:hint="eastAsia" w:ascii="宋体" w:hAnsi="宋体" w:eastAsia="宋体" w:cs="Arial"/>
          <w:sz w:val="24"/>
        </w:rPr>
        <w:t>:</w:t>
      </w:r>
      <w:r>
        <w:rPr>
          <w:rFonts w:hint="eastAsia"/>
        </w:rPr>
        <w:t xml:space="preserve"> </w:t>
      </w:r>
      <w:r>
        <w:rPr>
          <w:rFonts w:hint="eastAsia" w:ascii="宋体" w:hAnsi="宋体" w:eastAsia="宋体" w:cs="Arial"/>
          <w:sz w:val="24"/>
        </w:rPr>
        <w:t>供应商总报价超过对应最高限价的，视为</w:t>
      </w:r>
      <w:r>
        <w:rPr>
          <w:rFonts w:hint="eastAsia" w:ascii="宋体" w:hAnsi="宋体" w:eastAsia="宋体" w:cs="Arial"/>
          <w:b/>
          <w:bCs/>
          <w:sz w:val="24"/>
        </w:rPr>
        <w:t>无效报价</w:t>
      </w:r>
      <w:r>
        <w:rPr>
          <w:rFonts w:hint="eastAsia" w:ascii="宋体" w:hAnsi="宋体" w:eastAsia="宋体" w:cs="Arial"/>
          <w:sz w:val="24"/>
        </w:rPr>
        <w:t>，不参与评审</w:t>
      </w:r>
      <w:r>
        <w:rPr>
          <w:rFonts w:ascii="宋体" w:hAnsi="宋体" w:eastAsia="宋体" w:cs="Arial"/>
          <w:sz w:val="24"/>
        </w:rPr>
        <w:t>；</w:t>
      </w:r>
    </w:p>
    <w:p w14:paraId="49435375">
      <w:pPr>
        <w:numPr>
          <w:ilvl w:val="0"/>
          <w:numId w:val="18"/>
        </w:numPr>
        <w:spacing w:before="120" w:after="120" w:line="360" w:lineRule="auto"/>
        <w:ind w:firstLine="480" w:firstLineChars="200"/>
        <w:rPr>
          <w:rFonts w:hint="eastAsia" w:ascii="宋体" w:hAnsi="宋体" w:eastAsia="宋体"/>
          <w:sz w:val="24"/>
        </w:rPr>
      </w:pPr>
      <w:r>
        <w:rPr>
          <w:rFonts w:ascii="宋体" w:hAnsi="宋体" w:eastAsia="宋体" w:cs="Arial"/>
          <w:sz w:val="24"/>
        </w:rPr>
        <w:t>确定评审基准价：满足遴选文件要求且</w:t>
      </w:r>
      <w:r>
        <w:rPr>
          <w:rFonts w:hint="eastAsia" w:ascii="宋体" w:hAnsi="宋体" w:eastAsia="宋体" w:cs="Arial"/>
          <w:b/>
          <w:sz w:val="24"/>
        </w:rPr>
        <w:t>总金额</w:t>
      </w:r>
      <w:r>
        <w:rPr>
          <w:rFonts w:ascii="宋体" w:hAnsi="宋体" w:eastAsia="宋体" w:cs="Arial"/>
          <w:b/>
          <w:sz w:val="24"/>
        </w:rPr>
        <w:t>最低</w:t>
      </w:r>
      <w:r>
        <w:rPr>
          <w:rFonts w:ascii="宋体" w:hAnsi="宋体" w:eastAsia="宋体" w:cs="Arial"/>
          <w:sz w:val="24"/>
        </w:rPr>
        <w:t>的响应报价为评审基准价；</w:t>
      </w:r>
    </w:p>
    <w:p w14:paraId="36E57962">
      <w:pPr>
        <w:numPr>
          <w:ilvl w:val="0"/>
          <w:numId w:val="18"/>
        </w:numPr>
        <w:spacing w:before="120" w:after="120" w:line="360" w:lineRule="auto"/>
        <w:ind w:firstLine="480" w:firstLineChars="200"/>
        <w:rPr>
          <w:rFonts w:hint="eastAsia" w:ascii="宋体" w:hAnsi="宋体" w:eastAsia="宋体"/>
          <w:sz w:val="24"/>
        </w:rPr>
      </w:pPr>
      <w:r>
        <w:rPr>
          <w:rFonts w:ascii="宋体" w:hAnsi="宋体" w:eastAsia="宋体" w:cs="Arial"/>
          <w:sz w:val="24"/>
        </w:rPr>
        <w:t xml:space="preserve">计算报价得分：报价得分 = </w:t>
      </w:r>
      <w:r>
        <w:rPr>
          <w:rFonts w:hint="eastAsia" w:ascii="宋体" w:hAnsi="宋体" w:eastAsia="宋体" w:cs="Arial"/>
          <w:sz w:val="24"/>
        </w:rPr>
        <w:t>（评审基准价÷供应商报价）×50，结果保留 2 位小数</w:t>
      </w:r>
      <w:r>
        <w:rPr>
          <w:rFonts w:ascii="宋体" w:hAnsi="宋体" w:eastAsia="宋体" w:cs="Arial"/>
          <w:sz w:val="24"/>
        </w:rPr>
        <w:t>；</w:t>
      </w:r>
    </w:p>
    <w:p w14:paraId="1C6E8231">
      <w:pPr>
        <w:numPr>
          <w:ilvl w:val="0"/>
          <w:numId w:val="18"/>
        </w:numPr>
        <w:spacing w:before="120" w:after="120" w:line="360" w:lineRule="auto"/>
        <w:ind w:firstLine="480" w:firstLineChars="200"/>
        <w:rPr>
          <w:rFonts w:hint="eastAsia" w:ascii="宋体" w:hAnsi="宋体" w:eastAsia="宋体"/>
          <w:sz w:val="24"/>
        </w:rPr>
      </w:pPr>
      <w:r>
        <w:rPr>
          <w:rFonts w:ascii="宋体" w:hAnsi="宋体" w:eastAsia="宋体" w:cs="Arial"/>
          <w:sz w:val="24"/>
        </w:rPr>
        <w:t>无效报价处理：</w:t>
      </w:r>
      <w:r>
        <w:rPr>
          <w:rFonts w:hint="eastAsia" w:ascii="宋体" w:hAnsi="宋体" w:eastAsia="宋体" w:cs="Arial"/>
          <w:sz w:val="24"/>
        </w:rPr>
        <w:t>任一</w:t>
      </w:r>
      <w:r>
        <w:rPr>
          <w:rFonts w:hint="eastAsia" w:ascii="宋体" w:hAnsi="宋体" w:eastAsia="宋体" w:cs="Arial"/>
          <w:b/>
          <w:bCs/>
          <w:sz w:val="24"/>
        </w:rPr>
        <w:t>单品未报或总报价超限价</w:t>
      </w:r>
      <w:r>
        <w:rPr>
          <w:rFonts w:hint="eastAsia" w:ascii="宋体" w:hAnsi="宋体" w:eastAsia="宋体" w:cs="Arial"/>
          <w:sz w:val="24"/>
        </w:rPr>
        <w:t>，均按无效响应处理</w:t>
      </w:r>
      <w:r>
        <w:rPr>
          <w:rFonts w:ascii="宋体" w:hAnsi="宋体" w:eastAsia="宋体" w:cs="Arial"/>
          <w:sz w:val="24"/>
        </w:rPr>
        <w:t>，且该供应商</w:t>
      </w:r>
      <w:r>
        <w:rPr>
          <w:rFonts w:ascii="宋体" w:hAnsi="宋体" w:eastAsia="宋体" w:cs="Arial"/>
          <w:b/>
          <w:sz w:val="24"/>
        </w:rPr>
        <w:t>不得列为中选单位</w:t>
      </w:r>
      <w:r>
        <w:rPr>
          <w:rFonts w:ascii="宋体" w:hAnsi="宋体" w:eastAsia="宋体" w:cs="Arial"/>
          <w:sz w:val="24"/>
        </w:rPr>
        <w:t>。</w:t>
      </w:r>
    </w:p>
    <w:p w14:paraId="56854041">
      <w:pPr>
        <w:pStyle w:val="10"/>
        <w:numPr>
          <w:ilvl w:val="0"/>
          <w:numId w:val="17"/>
        </w:numPr>
        <w:spacing w:before="320" w:after="120" w:line="360" w:lineRule="auto"/>
        <w:ind w:firstLine="57" w:firstLineChars="0"/>
        <w:outlineLvl w:val="1"/>
        <w:rPr>
          <w:rFonts w:hint="eastAsia" w:ascii="宋体" w:hAnsi="宋体" w:eastAsia="宋体" w:cs="Arial"/>
          <w:b/>
          <w:sz w:val="24"/>
        </w:rPr>
      </w:pPr>
      <w:bookmarkStart w:id="22" w:name="heading_26"/>
      <w:r>
        <w:rPr>
          <w:rFonts w:ascii="宋体" w:hAnsi="宋体" w:eastAsia="宋体" w:cs="Arial"/>
          <w:b/>
          <w:sz w:val="24"/>
        </w:rPr>
        <w:t>评审流程</w:t>
      </w:r>
      <w:bookmarkEnd w:id="22"/>
    </w:p>
    <w:p w14:paraId="50FEEF21">
      <w:pPr>
        <w:numPr>
          <w:ilvl w:val="0"/>
          <w:numId w:val="19"/>
        </w:numPr>
        <w:spacing w:before="120" w:after="120" w:line="360" w:lineRule="auto"/>
        <w:ind w:firstLine="482" w:firstLineChars="200"/>
        <w:rPr>
          <w:rFonts w:hint="eastAsia" w:ascii="宋体" w:hAnsi="宋体" w:eastAsia="宋体"/>
          <w:sz w:val="24"/>
        </w:rPr>
      </w:pPr>
      <w:r>
        <w:rPr>
          <w:rFonts w:ascii="宋体" w:hAnsi="宋体" w:eastAsia="宋体" w:cs="Arial"/>
          <w:b/>
          <w:sz w:val="24"/>
        </w:rPr>
        <w:t>资格审查</w:t>
      </w:r>
      <w:r>
        <w:rPr>
          <w:rFonts w:ascii="宋体" w:hAnsi="宋体" w:eastAsia="宋体" w:cs="Arial"/>
          <w:sz w:val="24"/>
        </w:rPr>
        <w:t>：评审小组审核资质文件，未通过的响应文件视为无效，不参与后续评审；</w:t>
      </w:r>
    </w:p>
    <w:p w14:paraId="5F28A5F2">
      <w:pPr>
        <w:numPr>
          <w:ilvl w:val="0"/>
          <w:numId w:val="19"/>
        </w:numPr>
        <w:spacing w:before="120" w:after="120" w:line="360" w:lineRule="auto"/>
        <w:ind w:firstLine="482" w:firstLineChars="200"/>
        <w:rPr>
          <w:rFonts w:hint="eastAsia" w:ascii="宋体" w:hAnsi="宋体" w:eastAsia="宋体"/>
          <w:sz w:val="24"/>
        </w:rPr>
      </w:pPr>
      <w:r>
        <w:rPr>
          <w:rFonts w:ascii="宋体" w:hAnsi="宋体" w:eastAsia="宋体" w:cs="Arial"/>
          <w:b/>
          <w:sz w:val="24"/>
        </w:rPr>
        <w:t>商务技术评审</w:t>
      </w:r>
      <w:r>
        <w:rPr>
          <w:rFonts w:ascii="宋体" w:hAnsi="宋体" w:eastAsia="宋体" w:cs="Arial"/>
          <w:sz w:val="24"/>
        </w:rPr>
        <w:t>：对通过资格审查的供应商进行商务技术评分，计算商务技术部分得分；</w:t>
      </w:r>
    </w:p>
    <w:p w14:paraId="35731067">
      <w:pPr>
        <w:numPr>
          <w:ilvl w:val="0"/>
          <w:numId w:val="19"/>
        </w:numPr>
        <w:spacing w:before="120" w:after="120" w:line="360" w:lineRule="auto"/>
        <w:ind w:firstLine="482" w:firstLineChars="200"/>
        <w:rPr>
          <w:rFonts w:hint="eastAsia" w:ascii="宋体" w:hAnsi="宋体" w:eastAsia="宋体"/>
          <w:sz w:val="24"/>
        </w:rPr>
      </w:pPr>
      <w:r>
        <w:rPr>
          <w:rFonts w:ascii="宋体" w:hAnsi="宋体" w:eastAsia="宋体" w:cs="Arial"/>
          <w:b/>
          <w:sz w:val="24"/>
        </w:rPr>
        <w:t>价格评审</w:t>
      </w:r>
      <w:r>
        <w:rPr>
          <w:rFonts w:ascii="宋体" w:hAnsi="宋体" w:eastAsia="宋体" w:cs="Arial"/>
          <w:sz w:val="24"/>
        </w:rPr>
        <w:t>：审核价格文件，按上述方法计算价格部分得分；</w:t>
      </w:r>
    </w:p>
    <w:p w14:paraId="1A4910F1">
      <w:pPr>
        <w:numPr>
          <w:ilvl w:val="0"/>
          <w:numId w:val="19"/>
        </w:numPr>
        <w:spacing w:before="120" w:after="120" w:line="360" w:lineRule="auto"/>
        <w:ind w:firstLine="482" w:firstLineChars="200"/>
        <w:rPr>
          <w:rFonts w:hint="eastAsia" w:ascii="宋体" w:hAnsi="宋体" w:eastAsia="宋体"/>
          <w:sz w:val="24"/>
        </w:rPr>
      </w:pPr>
      <w:r>
        <w:rPr>
          <w:rFonts w:ascii="宋体" w:hAnsi="宋体" w:eastAsia="宋体" w:cs="Arial"/>
          <w:b/>
          <w:sz w:val="24"/>
        </w:rPr>
        <w:t>综合得分计算</w:t>
      </w:r>
      <w:r>
        <w:rPr>
          <w:rFonts w:ascii="宋体" w:hAnsi="宋体" w:eastAsia="宋体" w:cs="Arial"/>
          <w:sz w:val="24"/>
        </w:rPr>
        <w:t>：综合得分 = 商务技术部分得分 + 价格部分得分；</w:t>
      </w:r>
    </w:p>
    <w:p w14:paraId="001BB902">
      <w:pPr>
        <w:numPr>
          <w:ilvl w:val="0"/>
          <w:numId w:val="19"/>
        </w:numPr>
        <w:spacing w:before="120" w:after="120" w:line="360" w:lineRule="auto"/>
        <w:ind w:firstLine="482" w:firstLineChars="200"/>
        <w:rPr>
          <w:rFonts w:hint="eastAsia" w:ascii="宋体" w:hAnsi="宋体" w:eastAsia="宋体"/>
          <w:sz w:val="24"/>
        </w:rPr>
      </w:pPr>
      <w:r>
        <w:rPr>
          <w:rFonts w:ascii="宋体" w:hAnsi="宋体" w:eastAsia="宋体" w:cs="Arial"/>
          <w:b/>
          <w:sz w:val="24"/>
        </w:rPr>
        <w:t>确定入围单位</w:t>
      </w:r>
      <w:r>
        <w:rPr>
          <w:rFonts w:ascii="宋体" w:hAnsi="宋体" w:eastAsia="宋体" w:cs="Arial"/>
          <w:sz w:val="24"/>
        </w:rPr>
        <w:t>：按综合得分从高到低排序，确定中选单位、备选单位，出具评审报告。</w:t>
      </w:r>
      <w:r>
        <w:rPr>
          <w:rFonts w:hint="eastAsia" w:ascii="宋体" w:hAnsi="宋体" w:eastAsia="宋体" w:cs="Arial"/>
          <w:sz w:val="24"/>
        </w:rPr>
        <w:t>综合得分相同的，价格分高者排名靠前。</w:t>
      </w:r>
    </w:p>
    <w:p w14:paraId="429531D5">
      <w:pPr>
        <w:numPr>
          <w:ilvl w:val="0"/>
          <w:numId w:val="19"/>
        </w:numPr>
        <w:spacing w:before="120" w:after="120" w:line="360" w:lineRule="auto"/>
        <w:ind w:firstLine="480" w:firstLineChars="200"/>
        <w:rPr>
          <w:rFonts w:hint="eastAsia" w:ascii="宋体" w:hAnsi="宋体" w:eastAsia="宋体" w:cs="Arial"/>
          <w:bCs/>
          <w:sz w:val="24"/>
        </w:rPr>
      </w:pPr>
      <w:r>
        <w:rPr>
          <w:rFonts w:hint="eastAsia" w:ascii="宋体" w:hAnsi="宋体" w:eastAsia="宋体" w:cs="Arial"/>
          <w:bCs/>
          <w:sz w:val="24"/>
        </w:rPr>
        <w:t>在遴选结果确定后，如第一中选候选人出现以下情况，采购方可以根据综合得分中选顺序，更换中选候选人，由第二中选候选人中选：</w:t>
      </w:r>
    </w:p>
    <w:p w14:paraId="70A58362">
      <w:pPr>
        <w:pStyle w:val="10"/>
        <w:numPr>
          <w:ilvl w:val="0"/>
          <w:numId w:val="20"/>
        </w:numPr>
        <w:spacing w:before="120" w:after="120" w:line="360" w:lineRule="auto"/>
        <w:ind w:left="0" w:firstLine="480"/>
        <w:rPr>
          <w:rFonts w:hint="eastAsia" w:ascii="宋体" w:hAnsi="宋体" w:eastAsia="宋体" w:cs="Arial"/>
          <w:bCs/>
          <w:sz w:val="24"/>
        </w:rPr>
      </w:pPr>
      <w:r>
        <w:rPr>
          <w:rFonts w:hint="eastAsia" w:ascii="宋体" w:hAnsi="宋体" w:eastAsia="宋体" w:cs="Arial"/>
          <w:bCs/>
          <w:sz w:val="24"/>
        </w:rPr>
        <w:t>中选候选人弃选、因不可抗力不能履行合同、不按照合同要求提交履约保证金的；</w:t>
      </w:r>
    </w:p>
    <w:p w14:paraId="18AE2803">
      <w:pPr>
        <w:pStyle w:val="10"/>
        <w:numPr>
          <w:ilvl w:val="0"/>
          <w:numId w:val="20"/>
        </w:numPr>
        <w:spacing w:before="120" w:after="120" w:line="360" w:lineRule="auto"/>
        <w:ind w:left="0" w:firstLine="480"/>
        <w:rPr>
          <w:rFonts w:hint="eastAsia" w:ascii="宋体" w:hAnsi="宋体" w:eastAsia="宋体" w:cs="Arial"/>
          <w:bCs/>
          <w:sz w:val="24"/>
        </w:rPr>
      </w:pPr>
      <w:r>
        <w:rPr>
          <w:rFonts w:hint="eastAsia" w:ascii="宋体" w:hAnsi="宋体" w:eastAsia="宋体" w:cs="Arial"/>
          <w:bCs/>
          <w:sz w:val="24"/>
        </w:rPr>
        <w:t>采购方查实中选候选人存在弄虚作假、影响中选结果的违法违规行为，不符合中选条件的；</w:t>
      </w:r>
    </w:p>
    <w:p w14:paraId="6C41B3A9">
      <w:pPr>
        <w:pStyle w:val="10"/>
        <w:numPr>
          <w:ilvl w:val="0"/>
          <w:numId w:val="20"/>
        </w:numPr>
        <w:spacing w:before="120" w:after="120" w:line="360" w:lineRule="auto"/>
        <w:ind w:left="0" w:firstLine="480"/>
        <w:rPr>
          <w:rFonts w:hint="eastAsia" w:ascii="宋体" w:hAnsi="宋体" w:eastAsia="宋体" w:cs="Arial"/>
          <w:bCs/>
          <w:sz w:val="24"/>
        </w:rPr>
      </w:pPr>
      <w:r>
        <w:rPr>
          <w:rFonts w:hint="eastAsia" w:ascii="宋体" w:hAnsi="宋体" w:eastAsia="宋体" w:cs="Arial"/>
          <w:bCs/>
          <w:sz w:val="24"/>
        </w:rPr>
        <w:t>中选候选人履行合同过程中发生供货异常，根据合同附件“供应商供货异常处理方式”被取消供货资格的。</w:t>
      </w:r>
    </w:p>
    <w:p w14:paraId="2F96398E">
      <w:pPr>
        <w:spacing w:before="120" w:after="120" w:line="360" w:lineRule="auto"/>
        <w:ind w:firstLine="480" w:firstLineChars="200"/>
        <w:rPr>
          <w:rFonts w:hint="eastAsia" w:ascii="宋体" w:hAnsi="宋体" w:eastAsia="宋体"/>
          <w:sz w:val="24"/>
        </w:rPr>
      </w:pPr>
    </w:p>
    <w:p w14:paraId="312ACA70">
      <w:pPr>
        <w:widowControl/>
        <w:ind w:firstLine="482" w:firstLineChars="200"/>
        <w:rPr>
          <w:rFonts w:hint="eastAsia" w:ascii="宋体" w:hAnsi="宋体" w:eastAsia="宋体" w:cs="Arial"/>
          <w:b/>
          <w:sz w:val="24"/>
        </w:rPr>
      </w:pPr>
      <w:bookmarkStart w:id="23" w:name="heading_27"/>
      <w:r>
        <w:rPr>
          <w:rFonts w:hint="eastAsia" w:ascii="宋体" w:hAnsi="宋体" w:eastAsia="宋体" w:cs="Arial"/>
          <w:b/>
          <w:sz w:val="24"/>
        </w:rPr>
        <w:br w:type="page"/>
      </w:r>
    </w:p>
    <w:p w14:paraId="51A4F9F6">
      <w:pPr>
        <w:spacing w:before="380" w:after="140" w:line="360" w:lineRule="auto"/>
        <w:ind w:firstLine="482" w:firstLineChars="200"/>
        <w:jc w:val="center"/>
        <w:outlineLvl w:val="0"/>
        <w:rPr>
          <w:rFonts w:hint="eastAsia" w:ascii="宋体" w:hAnsi="宋体" w:eastAsia="宋体"/>
          <w:sz w:val="24"/>
        </w:rPr>
      </w:pPr>
      <w:r>
        <w:rPr>
          <w:rFonts w:ascii="宋体" w:hAnsi="宋体" w:eastAsia="宋体" w:cs="Arial"/>
          <w:b/>
          <w:sz w:val="24"/>
        </w:rPr>
        <w:t>第五部分 合同主要条款</w:t>
      </w:r>
      <w:bookmarkEnd w:id="23"/>
    </w:p>
    <w:p w14:paraId="411632F3">
      <w:pPr>
        <w:spacing w:before="120" w:after="120" w:line="360" w:lineRule="auto"/>
        <w:ind w:firstLine="480" w:firstLineChars="200"/>
        <w:rPr>
          <w:rFonts w:hint="eastAsia" w:ascii="宋体" w:hAnsi="宋体" w:eastAsia="宋体" w:cs="Arial"/>
          <w:sz w:val="24"/>
        </w:rPr>
      </w:pPr>
      <w:r>
        <w:rPr>
          <w:rFonts w:hint="eastAsia" w:ascii="宋体" w:hAnsi="宋体" w:eastAsia="宋体" w:cs="Arial"/>
          <w:sz w:val="24"/>
        </w:rPr>
        <w:t>合同由采购方（广州中大餐饮管理有限公司、广州中大康乐园餐饮有限公司）分别与中选单位签订，以下所列内容为核心合同条款，采购方可根据项目实际情况予以调整。</w:t>
      </w:r>
    </w:p>
    <w:p w14:paraId="0BAD734A">
      <w:pPr>
        <w:spacing w:before="120" w:after="120" w:line="360" w:lineRule="auto"/>
        <w:ind w:firstLine="480" w:firstLineChars="200"/>
        <w:rPr>
          <w:rFonts w:hint="eastAsia" w:ascii="宋体" w:hAnsi="宋体" w:eastAsia="宋体" w:cs="Arial"/>
          <w:sz w:val="24"/>
        </w:rPr>
      </w:pPr>
    </w:p>
    <w:p w14:paraId="182C9DA6">
      <w:pPr>
        <w:spacing w:after="312" w:afterLines="100" w:line="360" w:lineRule="auto"/>
        <w:ind w:firstLine="482" w:firstLineChars="200"/>
        <w:jc w:val="center"/>
        <w:rPr>
          <w:rFonts w:hint="eastAsia" w:ascii="宋体" w:hAnsi="宋体" w:eastAsia="宋体" w:cs="宋体"/>
          <w:b/>
          <w:bCs/>
          <w:color w:val="000000"/>
          <w:sz w:val="24"/>
          <w14:ligatures w14:val="none"/>
        </w:rPr>
      </w:pPr>
      <w:bookmarkStart w:id="24" w:name="heading_39"/>
      <w:r>
        <w:rPr>
          <w:rFonts w:hint="eastAsia" w:ascii="宋体" w:hAnsi="宋体" w:eastAsia="宋体" w:cs="宋体"/>
          <w:b/>
          <w:bCs/>
          <w:color w:val="000000"/>
          <w:sz w:val="24"/>
          <w14:ligatures w14:val="none"/>
        </w:rPr>
        <w:t>食品委托加工合同</w:t>
      </w:r>
    </w:p>
    <w:p w14:paraId="02A8B2E3">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甲方:</w:t>
      </w:r>
    </w:p>
    <w:p w14:paraId="1CE3702E">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法定代表人:</w:t>
      </w:r>
    </w:p>
    <w:p w14:paraId="5C5353A7">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地址:</w:t>
      </w:r>
    </w:p>
    <w:p w14:paraId="03BD0E54">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 xml:space="preserve">乙方: </w:t>
      </w:r>
    </w:p>
    <w:p w14:paraId="06DB6C22">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 xml:space="preserve">法定代表人: </w:t>
      </w:r>
    </w:p>
    <w:p w14:paraId="2AD00FFF">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 xml:space="preserve">地址: </w:t>
      </w:r>
    </w:p>
    <w:p w14:paraId="0B027398">
      <w:pPr>
        <w:spacing w:after="0" w:line="360" w:lineRule="auto"/>
        <w:ind w:firstLine="480" w:firstLineChars="200"/>
        <w:jc w:val="both"/>
        <w:rPr>
          <w:rFonts w:hint="eastAsia" w:ascii="宋体" w:hAnsi="宋体" w:eastAsia="宋体" w:cs="宋体"/>
          <w:color w:val="000000"/>
          <w:sz w:val="24"/>
          <w14:ligatures w14:val="none"/>
        </w:rPr>
      </w:pPr>
    </w:p>
    <w:p w14:paraId="78194C68">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甲方委托乙方加工粽子产品，为维护甲乙双方的利益，经双方协商，就有关代加工事宜达成如下协议，以供双方共同遵守。</w:t>
      </w:r>
    </w:p>
    <w:p w14:paraId="7D9528D7">
      <w:pPr>
        <w:spacing w:after="0" w:line="360" w:lineRule="auto"/>
        <w:ind w:firstLine="480" w:firstLineChars="200"/>
        <w:jc w:val="both"/>
        <w:rPr>
          <w:rFonts w:hint="eastAsia" w:ascii="宋体" w:hAnsi="宋体" w:eastAsia="宋体" w:cs="宋体"/>
          <w:color w:val="000000"/>
          <w:sz w:val="24"/>
          <w14:ligatures w14:val="none"/>
        </w:rPr>
      </w:pPr>
    </w:p>
    <w:p w14:paraId="5E4CB212">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第一条 代加工内容</w:t>
      </w:r>
    </w:p>
    <w:p w14:paraId="3F584105">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甲方委托乙方为其加工系列产品，加工数量、款式、标准、质量要求由甲方提供，价格由双方协商确定，另在订单上详述。</w:t>
      </w:r>
    </w:p>
    <w:p w14:paraId="37C3268C">
      <w:pPr>
        <w:spacing w:after="0" w:line="360" w:lineRule="auto"/>
        <w:ind w:firstLine="480" w:firstLineChars="200"/>
        <w:jc w:val="both"/>
        <w:rPr>
          <w:rFonts w:hint="eastAsia" w:ascii="宋体" w:hAnsi="宋体" w:eastAsia="宋体" w:cs="宋体"/>
          <w:color w:val="000000"/>
          <w:sz w:val="24"/>
          <w14:ligatures w14:val="none"/>
        </w:rPr>
      </w:pPr>
    </w:p>
    <w:p w14:paraId="54AA9882">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第二条 甲方责任</w:t>
      </w:r>
    </w:p>
    <w:p w14:paraId="2FA9904A">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1、按计划委托乙方为其加工甲方指定的粽子产品。</w:t>
      </w:r>
    </w:p>
    <w:p w14:paraId="1711314A">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2、向乙方提供加工品款式、数量、技术要求、交货时间等。</w:t>
      </w:r>
    </w:p>
    <w:p w14:paraId="099CA586">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3、甲方有权对乙方的生产标准、产品质量进行检查监督，并提出意见和建议，以确认的样品验收货品。</w:t>
      </w:r>
    </w:p>
    <w:p w14:paraId="5986BDA6">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4、甲方按照国家标准要求及甲乙双方确定的样板和标准进行货品验收。</w:t>
      </w:r>
    </w:p>
    <w:p w14:paraId="21267D72">
      <w:pPr>
        <w:spacing w:after="0" w:line="360" w:lineRule="auto"/>
        <w:ind w:firstLine="480" w:firstLineChars="200"/>
        <w:jc w:val="both"/>
        <w:rPr>
          <w:rFonts w:hint="eastAsia" w:ascii="宋体" w:hAnsi="宋体" w:eastAsia="宋体" w:cs="宋体"/>
          <w:color w:val="000000"/>
          <w:sz w:val="24"/>
          <w14:ligatures w14:val="none"/>
        </w:rPr>
      </w:pPr>
    </w:p>
    <w:p w14:paraId="5CA746B8">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第三条 乙方责任</w:t>
      </w:r>
    </w:p>
    <w:p w14:paraId="1850E58D">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1、严格按照甲方的委托内容及要求从事代加工生产。保证粽子产品数量款式、标准、质量均符合甲方的加工要求。</w:t>
      </w:r>
    </w:p>
    <w:p w14:paraId="72830A7E">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2、保证产品质量符合所执行国家标准的要求。</w:t>
      </w:r>
    </w:p>
    <w:p w14:paraId="28366D6D">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3、保证提供的产品配方和工艺要求，符合《中华人民共和国食品安全法》《中华人民共和国产品质量法》等国家相关法律法规的规定，并对其产品质量和安全性负责。</w:t>
      </w:r>
    </w:p>
    <w:p w14:paraId="4B10A692">
      <w:pPr>
        <w:spacing w:after="0" w:line="360" w:lineRule="auto"/>
        <w:ind w:firstLine="480" w:firstLineChars="200"/>
        <w:jc w:val="both"/>
        <w:rPr>
          <w:rFonts w:hint="eastAsia" w:ascii="宋体" w:hAnsi="宋体" w:eastAsia="宋体" w:cs="宋体"/>
          <w:color w:val="000000"/>
          <w:sz w:val="24"/>
          <w14:ligatures w14:val="none"/>
        </w:rPr>
      </w:pPr>
    </w:p>
    <w:p w14:paraId="58D2FCD0">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第四条 采购订单</w:t>
      </w:r>
    </w:p>
    <w:p w14:paraId="3139A63C">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Times New Roman"/>
          <w:color w:val="000000"/>
          <w:sz w:val="24"/>
          <w14:ligatures w14:val="none"/>
        </w:rPr>
        <w:t>订单的确认：甲方按照需要，分批向乙方订购货物，每次订货数量、送货时间及送货地点以甲方最终的通知为准，乙方单次送货数量误差不超过订货总数量的±</w:t>
      </w:r>
      <w:r>
        <w:rPr>
          <w:rFonts w:ascii="宋体" w:hAnsi="宋体" w:eastAsia="宋体" w:cs="Times New Roman"/>
          <w:color w:val="000000"/>
          <w:sz w:val="24"/>
          <w14:ligatures w14:val="none"/>
        </w:rPr>
        <w:t>2%</w:t>
      </w:r>
      <w:r>
        <w:rPr>
          <w:rFonts w:hint="eastAsia" w:ascii="宋体" w:hAnsi="宋体" w:eastAsia="宋体" w:cs="Times New Roman"/>
          <w:color w:val="000000"/>
          <w:sz w:val="24"/>
          <w14:ligatures w14:val="none"/>
        </w:rPr>
        <w:t>，否则甲方有权拒收该批次的货物，同时乙方应尽快补送符合甲方要求数量的货物至甲方指定地点。乙方接到甲方每批次订货信息后，应在</w:t>
      </w:r>
      <w:r>
        <w:rPr>
          <w:rFonts w:hint="eastAsia" w:ascii="宋体" w:hAnsi="宋体" w:eastAsia="宋体" w:cs="Times New Roman"/>
          <w:color w:val="000000"/>
          <w:sz w:val="24"/>
          <w:u w:val="single"/>
          <w14:ligatures w14:val="none"/>
        </w:rPr>
        <w:t>10</w:t>
      </w:r>
      <w:r>
        <w:rPr>
          <w:rFonts w:hint="eastAsia" w:ascii="宋体" w:hAnsi="宋体" w:eastAsia="宋体" w:cs="Times New Roman"/>
          <w:color w:val="000000"/>
          <w:sz w:val="24"/>
          <w14:ligatures w14:val="none"/>
        </w:rPr>
        <w:t>天内完成到货；逾期不回复视为乙方收到该订单，并应按照甲方指定时间内将货物送到甲方指定地点，若乙方未按照甲方指定时间送货的，甲方有权追加乙方的违约责任。</w:t>
      </w:r>
      <w:r>
        <w:rPr>
          <w:rFonts w:hint="eastAsia" w:ascii="宋体" w:hAnsi="宋体" w:eastAsia="宋体" w:cs="宋体"/>
          <w:color w:val="000000"/>
          <w:sz w:val="24"/>
          <w14:ligatures w14:val="none"/>
        </w:rPr>
        <w:t>如果遇到不可抗力等因素导致乙方可能不能完成该采购订单，乙方应当立即通知甲方并与甲方协商解决方案。</w:t>
      </w:r>
    </w:p>
    <w:p w14:paraId="0BAB0A24">
      <w:pPr>
        <w:spacing w:after="0" w:line="360" w:lineRule="auto"/>
        <w:ind w:firstLine="480" w:firstLineChars="200"/>
        <w:jc w:val="both"/>
        <w:rPr>
          <w:rFonts w:hint="eastAsia" w:ascii="宋体" w:hAnsi="宋体" w:eastAsia="宋体" w:cs="宋体"/>
          <w:color w:val="000000"/>
          <w:sz w:val="24"/>
          <w14:ligatures w14:val="none"/>
        </w:rPr>
      </w:pPr>
    </w:p>
    <w:p w14:paraId="3BB0BF5A">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第五条 委托方式、结算、付款方式</w:t>
      </w:r>
    </w:p>
    <w:p w14:paraId="06A9A2FC">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甲方确定委托加工款式、数量、技术标准后，向乙方发出采购订单，乙方接到通知单后即按该单的要求进行生产，产品单价按照</w:t>
      </w:r>
      <w:r>
        <w:rPr>
          <w:rFonts w:hint="eastAsia" w:ascii="宋体" w:hAnsi="宋体" w:eastAsia="宋体" w:cs="宋体"/>
          <w:sz w:val="24"/>
          <w14:ligatures w14:val="none"/>
        </w:rPr>
        <w:t>附件1端午粽价格清单</w:t>
      </w:r>
      <w:r>
        <w:rPr>
          <w:rFonts w:hint="eastAsia" w:ascii="宋体" w:hAnsi="宋体" w:eastAsia="宋体" w:cs="宋体"/>
          <w:color w:val="000000"/>
          <w:sz w:val="24"/>
          <w14:ligatures w14:val="none"/>
        </w:rPr>
        <w:t>执行。</w:t>
      </w:r>
    </w:p>
    <w:p w14:paraId="34DE555F">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结算方式:银行转账结算。</w:t>
      </w:r>
    </w:p>
    <w:p w14:paraId="507DDD5A">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 xml:space="preserve">户名: </w:t>
      </w:r>
    </w:p>
    <w:p w14:paraId="07A1963F">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账户号码:</w:t>
      </w:r>
    </w:p>
    <w:p w14:paraId="5D0DAC7A">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 xml:space="preserve">开户行: </w:t>
      </w:r>
    </w:p>
    <w:p w14:paraId="709EA9FF">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乙方确保上述银行账户无误。乙方账户信息变更的，乙方需要提前【30】日内书面通知甲方，未书面通知变更的，甲方按原账户支付款项。因乙方及其工作人员原因导致无法乙方正常收款的，甲方不承担责任。</w:t>
      </w:r>
    </w:p>
    <w:p w14:paraId="11EC8823">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付款方式:乙方和甲方按要求完成货款核对工作。在双方对账无误，甲方收到合规等额的发票后20个工作日内付款。</w:t>
      </w:r>
    </w:p>
    <w:p w14:paraId="3A2F5ACA">
      <w:pPr>
        <w:spacing w:after="0" w:line="360" w:lineRule="auto"/>
        <w:ind w:firstLine="480" w:firstLineChars="200"/>
        <w:jc w:val="both"/>
        <w:rPr>
          <w:rFonts w:hint="eastAsia" w:ascii="宋体" w:hAnsi="宋体" w:eastAsia="宋体" w:cs="宋体"/>
          <w:color w:val="000000"/>
          <w:sz w:val="24"/>
          <w14:ligatures w14:val="none"/>
        </w:rPr>
      </w:pPr>
    </w:p>
    <w:p w14:paraId="45BADA70">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第六条 验收标准</w:t>
      </w:r>
    </w:p>
    <w:p w14:paraId="2C5AD979">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双方在下订单之前确定生产品种样品及质量指标，甲、乙双方以此作为验收标准。</w:t>
      </w:r>
    </w:p>
    <w:p w14:paraId="3455C82E">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甲方在乙方送货到指定地点之日起3日内必须对产品进行验收，如发现质量有异，甲方应在收到货物之日起3日内通知乙方处理，乙方在接到甲方异议后，应在【1】日内及时处理，逾期未处理的，甲方有权单方解除合同，且不支付乙方费用。由于货物为包装食品，甲方收货时仅能对外观包装进行查验，对食品质量安全的异议应按法律规定处理，不受约定的验收异议期限约束。</w:t>
      </w:r>
    </w:p>
    <w:p w14:paraId="59ED62A7">
      <w:pPr>
        <w:spacing w:after="0" w:line="360" w:lineRule="auto"/>
        <w:ind w:firstLine="480" w:firstLineChars="200"/>
        <w:jc w:val="both"/>
        <w:rPr>
          <w:rFonts w:hint="eastAsia" w:ascii="宋体" w:hAnsi="宋体" w:eastAsia="宋体" w:cs="宋体"/>
          <w:color w:val="000000"/>
          <w:sz w:val="24"/>
          <w14:ligatures w14:val="none"/>
        </w:rPr>
      </w:pPr>
    </w:p>
    <w:p w14:paraId="02EE87A0">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第七条 质量责任与产品安全</w:t>
      </w:r>
    </w:p>
    <w:p w14:paraId="13D5A845">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乙方须对全部加工工作质量及其所加工的产品质量负责。</w:t>
      </w:r>
    </w:p>
    <w:p w14:paraId="06A519D1">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乙方加工的产品进入市场后，甲方发现有质量问题的，甲方将及时通知乙方，乙方应及时采取有效措施解决。</w:t>
      </w:r>
    </w:p>
    <w:p w14:paraId="06DC1AA1">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如因乙方提供的货品存在质量安全问题引起的事故或纠纷，由乙方负责处理和赔偿。</w:t>
      </w:r>
    </w:p>
    <w:p w14:paraId="44F652B4">
      <w:pPr>
        <w:spacing w:after="0" w:line="360" w:lineRule="auto"/>
        <w:ind w:firstLine="480" w:firstLineChars="200"/>
        <w:jc w:val="both"/>
        <w:rPr>
          <w:rFonts w:hint="eastAsia" w:ascii="宋体" w:hAnsi="宋体" w:eastAsia="宋体" w:cs="宋体"/>
          <w:color w:val="000000"/>
          <w:sz w:val="24"/>
          <w14:ligatures w14:val="none"/>
        </w:rPr>
      </w:pPr>
    </w:p>
    <w:p w14:paraId="38CF906B">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第八条 违约责任</w:t>
      </w:r>
    </w:p>
    <w:p w14:paraId="0DE42839">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1、如甲方未及时向乙方发出通知单等原因，造成交货延迟，其损失由甲方承担。</w:t>
      </w:r>
    </w:p>
    <w:p w14:paraId="04E7D3E6">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2、甲、乙双方如有一方违约，除追究违约责任外，另一方有权终止本合同且违约方应当支付守约方因此支出的合理费用，包括但不限于律师费、诉讼、差旅费等。</w:t>
      </w:r>
    </w:p>
    <w:p w14:paraId="4CB8D314">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3、合同生效后，乙方保证在约定的交货日内按合同甲方指定时间指定交货地点交货。追加订单交货时间由甲乙双方协商确定。如逾期交货，应自逾期次日起，乙方按未提供产品总价值每日万分之五的比率向甲方支付违约金,违约金最高不超过合同总金额的30%。违约期计算时应扣除因不可抗力导致的延误时间。在约定交货期限后逾期十日的，视为乙方根本违约，甲方有权解除本合同，甲方无须向乙方支付剩余货款，且甲方有权要求乙方另行向甲方支付合同总金额30%的违约金；如因此给甲方造成损失的，乙方还应承担因此给甲方造成的经济损失和其他损失（包括但不限于乙方因此支付的维权费用、对第三人的违约责任等），以及乙方还应承担甲方为实现本合同目的，另行寻找第三人履行所支出的费用，含甲方应支付第三人所付的对价。</w:t>
      </w:r>
    </w:p>
    <w:p w14:paraId="69868CC4">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4、</w:t>
      </w:r>
      <w:r>
        <w:rPr>
          <w:rFonts w:hint="eastAsia" w:ascii="宋体" w:hAnsi="宋体" w:eastAsia="宋体" w:cs="Times New Roman"/>
          <w:color w:val="000000"/>
          <w:kern w:val="0"/>
          <w:sz w:val="24"/>
          <w14:ligatures w14:val="none"/>
        </w:rPr>
        <w:t>如乙方违反本合同项下的任何约定或</w:t>
      </w:r>
      <w:r>
        <w:rPr>
          <w:rFonts w:ascii="宋体" w:hAnsi="宋体" w:eastAsia="宋体" w:cs="Times New Roman"/>
          <w:color w:val="000000"/>
          <w:kern w:val="0"/>
          <w:sz w:val="24"/>
          <w14:ligatures w14:val="none"/>
        </w:rPr>
        <w:t>由于乙方所提供</w:t>
      </w:r>
      <w:r>
        <w:rPr>
          <w:rFonts w:hint="eastAsia" w:ascii="宋体" w:hAnsi="宋体" w:eastAsia="宋体" w:cs="Times New Roman"/>
          <w:color w:val="000000"/>
          <w:kern w:val="0"/>
          <w:sz w:val="24"/>
          <w14:ligatures w14:val="none"/>
        </w:rPr>
        <w:t>的产品</w:t>
      </w:r>
      <w:r>
        <w:rPr>
          <w:rFonts w:ascii="宋体" w:hAnsi="宋体" w:eastAsia="宋体" w:cs="Times New Roman"/>
          <w:color w:val="000000"/>
          <w:kern w:val="0"/>
          <w:sz w:val="24"/>
          <w14:ligatures w14:val="none"/>
        </w:rPr>
        <w:t>问题</w:t>
      </w:r>
      <w:r>
        <w:rPr>
          <w:rFonts w:hint="eastAsia" w:ascii="宋体" w:hAnsi="宋体" w:eastAsia="宋体" w:cs="Times New Roman"/>
          <w:color w:val="000000"/>
          <w:kern w:val="0"/>
          <w:sz w:val="24"/>
          <w14:ligatures w14:val="none"/>
        </w:rPr>
        <w:t>导致甲方面临任何第三方（包括行政机关）的索赔、处罚或其他权利主张，乙方应向甲方支付产品总价的【1】%的违约金并赔偿甲方由此所招致的一切成本和支出（包括但不限于诉讼费、公告费、律师费、保全费、差旅费、公证费等）以及甲方由此向第三方（包括行政机关）所承担的一切赔偿、罚款或其他任何责任。</w:t>
      </w:r>
    </w:p>
    <w:p w14:paraId="69D3279F">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5、乙方应保证其提供的各项证照、证明文件真实、合法、有效，否则甲方有权解除本合同，并要求乙方支付产品总价的【1】%的违约金和承担相应的后果及法律责任。</w:t>
      </w:r>
    </w:p>
    <w:p w14:paraId="64A3F898">
      <w:pPr>
        <w:spacing w:after="0" w:line="360" w:lineRule="auto"/>
        <w:ind w:firstLine="480" w:firstLineChars="200"/>
        <w:jc w:val="both"/>
        <w:rPr>
          <w:rFonts w:hint="eastAsia" w:ascii="宋体" w:hAnsi="宋体" w:eastAsia="宋体" w:cs="宋体"/>
          <w:color w:val="000000"/>
          <w:sz w:val="24"/>
          <w14:ligatures w14:val="none"/>
        </w:rPr>
      </w:pPr>
    </w:p>
    <w:p w14:paraId="0184C666">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第九条 履约保证及违约责任</w:t>
      </w:r>
    </w:p>
    <w:p w14:paraId="5DBBEF19">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1.在合同签订之日起7个工作日内，乙方向甲方指定银行账户缴纳人民币:</w:t>
      </w:r>
      <w:r>
        <w:rPr>
          <w:rFonts w:hint="eastAsia" w:ascii="宋体" w:hAnsi="宋体" w:eastAsia="宋体" w:cs="宋体"/>
          <w:b/>
          <w:bCs/>
          <w:color w:val="000000"/>
          <w:sz w:val="24"/>
          <w14:ligatures w14:val="none"/>
        </w:rPr>
        <w:t>20000元作为履约保证金。中大餐饮项目按要求提交，康乐园餐饮项目免于提交</w:t>
      </w:r>
      <w:r>
        <w:rPr>
          <w:rFonts w:hint="eastAsia" w:ascii="宋体" w:hAnsi="宋体" w:eastAsia="宋体" w:cs="宋体"/>
          <w:color w:val="000000"/>
          <w:sz w:val="24"/>
          <w14:ligatures w14:val="none"/>
        </w:rPr>
        <w:t>。甲方提供等额的财务收据，该保证金在配送合作业务终止(不再续签时且双方无其他纠纷 )之日起一个月内一次性不计利息退还乙方。甲方已收取履约保证金的，乙方不再重复缴纳。甲方银行账户信息如下：</w:t>
      </w:r>
    </w:p>
    <w:p w14:paraId="0DD08D32">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账户名称:</w:t>
      </w:r>
    </w:p>
    <w:p w14:paraId="14C56074">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账    号:</w:t>
      </w:r>
    </w:p>
    <w:p w14:paraId="7311F8D6">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开户银行:</w:t>
      </w:r>
    </w:p>
    <w:p w14:paraId="13841A83">
      <w:pPr>
        <w:spacing w:after="0" w:line="360" w:lineRule="auto"/>
        <w:ind w:firstLine="480" w:firstLineChars="200"/>
        <w:jc w:val="both"/>
        <w:rPr>
          <w:rFonts w:hint="eastAsia" w:ascii="宋体" w:hAnsi="宋体" w:eastAsia="宋体" w:cs="宋体"/>
          <w:color w:val="000000"/>
          <w:sz w:val="24"/>
          <w14:ligatures w14:val="none"/>
        </w:rPr>
      </w:pPr>
    </w:p>
    <w:p w14:paraId="4DF9D54D">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第十条 合同有效期限</w:t>
      </w:r>
    </w:p>
    <w:p w14:paraId="0478D048">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本委托加工合同期限自签订之日起生效至粽子货款支付完成。但乙方保证食品质量安全的义务不因合同到期而免除。</w:t>
      </w:r>
    </w:p>
    <w:p w14:paraId="29DAFD73">
      <w:pPr>
        <w:spacing w:after="0" w:line="360" w:lineRule="auto"/>
        <w:ind w:firstLine="480" w:firstLineChars="200"/>
        <w:jc w:val="both"/>
        <w:rPr>
          <w:rFonts w:hint="eastAsia" w:ascii="宋体" w:hAnsi="宋体" w:eastAsia="宋体" w:cs="宋体"/>
          <w:color w:val="000000"/>
          <w:sz w:val="24"/>
          <w14:ligatures w14:val="none"/>
        </w:rPr>
      </w:pPr>
    </w:p>
    <w:p w14:paraId="5139ED75">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第十一条 不可抗力</w:t>
      </w:r>
    </w:p>
    <w:p w14:paraId="365782B0">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在本合同期内，如因不可抗力因素导致合同无法继续履行，本合同自然终止，双方互不承担责任。如因国家政策和政府规定的调整变化使本合同无法续履行，本合同亦自然终止，双方互不追究对方责任。待不可抗力事由消除后，本合同双方决定本合同是否继续履行。若不可抗力事由达【3】日以上阻止一方继续履行合同的，另一方有权解除本合同。</w:t>
      </w:r>
    </w:p>
    <w:p w14:paraId="563D63F7">
      <w:pPr>
        <w:spacing w:after="0" w:line="360" w:lineRule="auto"/>
        <w:ind w:firstLine="480" w:firstLineChars="200"/>
        <w:jc w:val="both"/>
        <w:rPr>
          <w:rFonts w:hint="eastAsia" w:ascii="宋体" w:hAnsi="宋体" w:eastAsia="宋体" w:cs="宋体"/>
          <w:color w:val="000000"/>
          <w:sz w:val="24"/>
          <w14:ligatures w14:val="none"/>
        </w:rPr>
      </w:pPr>
    </w:p>
    <w:p w14:paraId="0C30E642">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第十二条 争议解决办法</w:t>
      </w:r>
    </w:p>
    <w:p w14:paraId="4AFE1831">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甲乙双方如因履行本合同发生争议，应协商解决；协商不成，依法交由甲方所在地人民法院审理。</w:t>
      </w:r>
    </w:p>
    <w:p w14:paraId="10F2DBB5">
      <w:pPr>
        <w:spacing w:after="0" w:line="360" w:lineRule="auto"/>
        <w:ind w:firstLine="480" w:firstLineChars="200"/>
        <w:jc w:val="both"/>
        <w:rPr>
          <w:rFonts w:hint="eastAsia" w:ascii="宋体" w:hAnsi="宋体" w:eastAsia="宋体" w:cs="宋体"/>
          <w:color w:val="000000"/>
          <w:sz w:val="24"/>
          <w14:ligatures w14:val="none"/>
        </w:rPr>
      </w:pPr>
    </w:p>
    <w:p w14:paraId="4FE3624E">
      <w:pPr>
        <w:spacing w:after="0" w:line="360" w:lineRule="auto"/>
        <w:ind w:firstLine="482" w:firstLineChars="200"/>
        <w:jc w:val="both"/>
        <w:rPr>
          <w:rFonts w:hint="eastAsia" w:ascii="宋体" w:hAnsi="宋体" w:eastAsia="宋体" w:cs="宋体"/>
          <w:b/>
          <w:bCs/>
          <w:color w:val="000000"/>
          <w:sz w:val="24"/>
          <w14:ligatures w14:val="none"/>
        </w:rPr>
      </w:pPr>
      <w:r>
        <w:rPr>
          <w:rFonts w:hint="eastAsia" w:ascii="宋体" w:hAnsi="宋体" w:eastAsia="宋体" w:cs="宋体"/>
          <w:b/>
          <w:bCs/>
          <w:color w:val="000000"/>
          <w:sz w:val="24"/>
          <w14:ligatures w14:val="none"/>
        </w:rPr>
        <w:t>第十三条 其他</w:t>
      </w:r>
    </w:p>
    <w:p w14:paraId="613F22F9">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1、本合同一式贰份，甲乙双方各壹份，自双方签字盖章之日起生效。</w:t>
      </w:r>
    </w:p>
    <w:p w14:paraId="4E2DA617">
      <w:pPr>
        <w:spacing w:after="0" w:line="360" w:lineRule="auto"/>
        <w:ind w:firstLine="480" w:firstLineChars="200"/>
        <w:jc w:val="both"/>
        <w:rPr>
          <w:rFonts w:hint="eastAsia" w:ascii="宋体" w:hAnsi="宋体" w:eastAsia="宋体" w:cs="宋体"/>
          <w:color w:val="000000"/>
          <w:sz w:val="24"/>
          <w14:ligatures w14:val="none"/>
        </w:rPr>
      </w:pPr>
      <w:r>
        <w:rPr>
          <w:rFonts w:hint="eastAsia" w:ascii="宋体" w:hAnsi="宋体" w:eastAsia="宋体" w:cs="宋体"/>
          <w:color w:val="000000"/>
          <w:sz w:val="24"/>
          <w14:ligatures w14:val="none"/>
        </w:rPr>
        <w:t>2、如有其他未尽事宜，甲乙双方可另行签订合同附件(或补充协议)，附件(或补充协议)与本合同具有同等法律效力。</w:t>
      </w:r>
    </w:p>
    <w:p w14:paraId="48498EF4">
      <w:pPr>
        <w:spacing w:after="0" w:line="360" w:lineRule="auto"/>
        <w:ind w:firstLine="480" w:firstLineChars="200"/>
        <w:jc w:val="both"/>
        <w:rPr>
          <w:rFonts w:hint="eastAsia" w:ascii="宋体" w:hAnsi="宋体" w:eastAsia="宋体" w:cs="宋体"/>
          <w:color w:val="000000"/>
          <w:sz w:val="24"/>
          <w14:ligatures w14:val="none"/>
        </w:rPr>
      </w:pPr>
    </w:p>
    <w:p w14:paraId="48FE153C">
      <w:pPr>
        <w:tabs>
          <w:tab w:val="left" w:pos="2696"/>
        </w:tabs>
        <w:spacing w:after="0" w:line="560" w:lineRule="exact"/>
        <w:ind w:firstLine="482" w:firstLineChars="200"/>
        <w:jc w:val="both"/>
        <w:rPr>
          <w:rFonts w:hint="eastAsia" w:ascii="宋体" w:hAnsi="宋体" w:eastAsia="宋体" w:cs="Times New Roman"/>
          <w:b/>
          <w:bCs/>
          <w:sz w:val="24"/>
          <w:szCs w:val="21"/>
          <w14:ligatures w14:val="none"/>
        </w:rPr>
      </w:pPr>
      <w:r>
        <w:rPr>
          <w:rFonts w:hint="eastAsia" w:ascii="宋体" w:hAnsi="宋体" w:eastAsia="宋体" w:cs="Times New Roman"/>
          <w:b/>
          <w:bCs/>
          <w:sz w:val="24"/>
          <w:szCs w:val="21"/>
          <w14:ligatures w14:val="none"/>
        </w:rPr>
        <w:t>合同附件：</w:t>
      </w:r>
    </w:p>
    <w:p w14:paraId="56817C88">
      <w:pPr>
        <w:tabs>
          <w:tab w:val="left" w:pos="2696"/>
        </w:tabs>
        <w:spacing w:after="0" w:line="560" w:lineRule="exact"/>
        <w:ind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1.</w:t>
      </w:r>
      <w:r>
        <w:rPr>
          <w:rFonts w:hint="eastAsia"/>
        </w:rPr>
        <w:t xml:space="preserve"> </w:t>
      </w:r>
      <w:r>
        <w:rPr>
          <w:rFonts w:hint="eastAsia" w:ascii="宋体" w:hAnsi="宋体" w:eastAsia="宋体" w:cs="Times New Roman"/>
          <w:sz w:val="24"/>
          <w:szCs w:val="21"/>
          <w14:ligatures w14:val="none"/>
        </w:rPr>
        <w:t>端午粽价格清单</w:t>
      </w:r>
    </w:p>
    <w:p w14:paraId="40935029">
      <w:pPr>
        <w:tabs>
          <w:tab w:val="left" w:pos="2696"/>
        </w:tabs>
        <w:spacing w:after="0" w:line="560" w:lineRule="exact"/>
        <w:ind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2.广州中大餐饮管理有限公司供应商供货异常处理方式</w:t>
      </w:r>
    </w:p>
    <w:p w14:paraId="6E771E2B">
      <w:pPr>
        <w:tabs>
          <w:tab w:val="left" w:pos="2696"/>
        </w:tabs>
        <w:spacing w:after="0" w:line="560" w:lineRule="exact"/>
        <w:ind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3.广州中大餐饮管理有限公司供应商行为准则</w:t>
      </w:r>
    </w:p>
    <w:p w14:paraId="6ACD3953">
      <w:pPr>
        <w:tabs>
          <w:tab w:val="left" w:pos="2696"/>
        </w:tabs>
        <w:spacing w:after="0" w:line="560" w:lineRule="exact"/>
        <w:ind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4.廉洁承诺书</w:t>
      </w:r>
    </w:p>
    <w:p w14:paraId="5E1D1FF5">
      <w:pPr>
        <w:tabs>
          <w:tab w:val="left" w:pos="2696"/>
        </w:tabs>
        <w:spacing w:after="0" w:line="560" w:lineRule="exact"/>
        <w:ind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5.供应商保密确认函</w:t>
      </w:r>
    </w:p>
    <w:p w14:paraId="1E5FEF1F">
      <w:pPr>
        <w:spacing w:after="0" w:line="360" w:lineRule="auto"/>
        <w:ind w:firstLine="480" w:firstLineChars="200"/>
        <w:jc w:val="both"/>
        <w:rPr>
          <w:rFonts w:hint="eastAsia" w:ascii="宋体" w:hAnsi="宋体" w:eastAsia="宋体" w:cs="宋体"/>
          <w:color w:val="000000"/>
          <w:sz w:val="24"/>
          <w14:ligatures w14:val="none"/>
        </w:rPr>
      </w:pPr>
    </w:p>
    <w:p w14:paraId="61652810">
      <w:pPr>
        <w:spacing w:after="0" w:line="360" w:lineRule="auto"/>
        <w:ind w:firstLine="480" w:firstLineChars="200"/>
        <w:jc w:val="both"/>
        <w:rPr>
          <w:rFonts w:hint="eastAsia" w:ascii="宋体" w:hAnsi="宋体" w:eastAsia="宋体" w:cs="宋体"/>
          <w:color w:val="000000"/>
          <w:sz w:val="24"/>
          <w14:ligatures w14:val="none"/>
        </w:rPr>
      </w:pPr>
    </w:p>
    <w:p w14:paraId="00BEE9AC">
      <w:pPr>
        <w:spacing w:after="0" w:line="240" w:lineRule="auto"/>
        <w:ind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br w:type="page"/>
      </w:r>
    </w:p>
    <w:p w14:paraId="371728A0">
      <w:pPr>
        <w:tabs>
          <w:tab w:val="left" w:pos="2696"/>
        </w:tabs>
        <w:spacing w:before="156" w:beforeLines="50" w:after="156" w:afterLines="50" w:line="560" w:lineRule="exact"/>
        <w:ind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（以下为双方签署处，无正文）</w:t>
      </w:r>
    </w:p>
    <w:p w14:paraId="0E7E645C">
      <w:pPr>
        <w:spacing w:before="156" w:beforeLines="50" w:after="156" w:afterLines="50" w:line="560" w:lineRule="exact"/>
        <w:ind w:firstLine="480" w:firstLineChars="200"/>
        <w:jc w:val="both"/>
        <w:rPr>
          <w:rFonts w:hint="eastAsia" w:ascii="宋体" w:hAnsi="宋体" w:eastAsia="宋体" w:cs="Times New Roman"/>
          <w:sz w:val="24"/>
          <w:szCs w:val="21"/>
          <w14:ligatures w14:val="none"/>
        </w:rPr>
      </w:pPr>
    </w:p>
    <w:p w14:paraId="21DCE162">
      <w:pPr>
        <w:spacing w:before="156" w:beforeLines="50" w:after="156" w:afterLines="50" w:line="560" w:lineRule="exact"/>
        <w:ind w:left="560"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甲方(加盖公章)：</w:t>
      </w:r>
      <w:r>
        <w:rPr>
          <w:rFonts w:hint="eastAsia" w:ascii="宋体" w:hAnsi="宋体" w:eastAsia="宋体" w:cs="Times New Roman"/>
          <w:sz w:val="24"/>
          <w:szCs w:val="21"/>
          <w14:ligatures w14:val="none"/>
        </w:rPr>
        <w:tab/>
      </w:r>
      <w:r>
        <w:rPr>
          <w:rFonts w:hint="eastAsia" w:ascii="宋体" w:hAnsi="宋体" w:eastAsia="宋体" w:cs="Times New Roman"/>
          <w:sz w:val="24"/>
          <w:szCs w:val="21"/>
          <w14:ligatures w14:val="none"/>
        </w:rPr>
        <w:tab/>
      </w:r>
      <w:r>
        <w:rPr>
          <w:rFonts w:hint="eastAsia" w:ascii="宋体" w:hAnsi="宋体" w:eastAsia="宋体" w:cs="Times New Roman"/>
          <w:sz w:val="24"/>
          <w:szCs w:val="21"/>
          <w14:ligatures w14:val="none"/>
        </w:rPr>
        <w:tab/>
      </w:r>
      <w:r>
        <w:rPr>
          <w:rFonts w:hint="eastAsia" w:ascii="宋体" w:hAnsi="宋体" w:eastAsia="宋体" w:cs="Times New Roman"/>
          <w:sz w:val="24"/>
          <w:szCs w:val="21"/>
          <w14:ligatures w14:val="none"/>
        </w:rPr>
        <w:tab/>
      </w:r>
      <w:r>
        <w:rPr>
          <w:rFonts w:hint="eastAsia" w:ascii="宋体" w:hAnsi="宋体" w:eastAsia="宋体" w:cs="Times New Roman"/>
          <w:sz w:val="24"/>
          <w:szCs w:val="21"/>
          <w14:ligatures w14:val="none"/>
        </w:rPr>
        <w:tab/>
      </w:r>
      <w:r>
        <w:rPr>
          <w:rFonts w:hint="eastAsia" w:ascii="宋体" w:hAnsi="宋体" w:eastAsia="宋体" w:cs="Times New Roman"/>
          <w:sz w:val="24"/>
          <w:szCs w:val="21"/>
          <w14:ligatures w14:val="none"/>
        </w:rPr>
        <w:tab/>
      </w:r>
      <w:r>
        <w:rPr>
          <w:rFonts w:hint="eastAsia" w:ascii="宋体" w:hAnsi="宋体" w:eastAsia="宋体" w:cs="Times New Roman"/>
          <w:sz w:val="24"/>
          <w:szCs w:val="21"/>
          <w14:ligatures w14:val="none"/>
        </w:rPr>
        <w:tab/>
      </w:r>
      <w:r>
        <w:rPr>
          <w:rFonts w:ascii="宋体" w:hAnsi="宋体" w:eastAsia="宋体" w:cs="Times New Roman"/>
          <w:sz w:val="24"/>
          <w:szCs w:val="21"/>
          <w14:ligatures w14:val="none"/>
        </w:rPr>
        <w:t xml:space="preserve">    </w:t>
      </w:r>
      <w:r>
        <w:rPr>
          <w:rFonts w:hint="eastAsia" w:ascii="宋体" w:hAnsi="宋体" w:eastAsia="宋体" w:cs="Times New Roman"/>
          <w:sz w:val="24"/>
          <w:szCs w:val="21"/>
          <w14:ligatures w14:val="none"/>
        </w:rPr>
        <w:t>乙方(加盖公章)：</w:t>
      </w:r>
    </w:p>
    <w:p w14:paraId="31BF3CC7">
      <w:pPr>
        <w:spacing w:before="156" w:beforeLines="50" w:after="156" w:afterLines="50" w:line="560" w:lineRule="exact"/>
        <w:ind w:left="560"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代表签字：                               代表签字：</w:t>
      </w:r>
    </w:p>
    <w:p w14:paraId="108B5F69">
      <w:pPr>
        <w:spacing w:before="156" w:beforeLines="50" w:after="156" w:afterLines="50" w:line="560" w:lineRule="exact"/>
        <w:ind w:left="560"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地址：                                   地址：</w:t>
      </w:r>
    </w:p>
    <w:p w14:paraId="4DD7ECB3">
      <w:pPr>
        <w:spacing w:before="156" w:beforeLines="50" w:after="156" w:afterLines="50" w:line="560" w:lineRule="exact"/>
        <w:ind w:left="560" w:firstLine="480" w:firstLineChars="200"/>
        <w:jc w:val="both"/>
        <w:rPr>
          <w:rFonts w:hint="eastAsia" w:ascii="宋体" w:hAnsi="宋体" w:eastAsia="宋体" w:cs="Times New Roman"/>
          <w:sz w:val="24"/>
          <w:szCs w:val="21"/>
          <w14:ligatures w14:val="none"/>
        </w:rPr>
      </w:pPr>
      <w:r>
        <w:rPr>
          <w:rFonts w:hint="eastAsia" w:ascii="宋体" w:hAnsi="宋体" w:eastAsia="宋体" w:cs="Times New Roman"/>
          <w:sz w:val="24"/>
          <w:szCs w:val="21"/>
          <w14:ligatures w14:val="none"/>
        </w:rPr>
        <w:t>联系电话：                               联系电话：</w:t>
      </w:r>
    </w:p>
    <w:p w14:paraId="6FA079A6">
      <w:pPr>
        <w:spacing w:after="0" w:line="560" w:lineRule="exact"/>
        <w:ind w:left="614" w:leftChars="279" w:firstLine="480" w:firstLineChars="200"/>
        <w:jc w:val="both"/>
        <w:rPr>
          <w:rFonts w:ascii="Tahoma" w:hAnsi="Tahoma" w:eastAsia="宋体" w:cs="Times New Roman"/>
          <w:sz w:val="24"/>
          <w14:ligatures w14:val="none"/>
        </w:rPr>
      </w:pPr>
      <w:r>
        <w:rPr>
          <w:rFonts w:hint="eastAsia" w:ascii="宋体" w:hAnsi="宋体" w:eastAsia="宋体" w:cs="Times New Roman"/>
          <w:sz w:val="24"/>
          <w:szCs w:val="21"/>
          <w14:ligatures w14:val="none"/>
        </w:rPr>
        <w:t>日 期：     年   月    日                日 期：     年    月    日</w:t>
      </w:r>
    </w:p>
    <w:p w14:paraId="7A67C159">
      <w:pPr>
        <w:spacing w:after="0" w:line="240" w:lineRule="auto"/>
        <w:ind w:firstLine="482" w:firstLineChars="200"/>
        <w:jc w:val="both"/>
        <w:rPr>
          <w:rFonts w:hint="eastAsia" w:ascii="宋体" w:hAnsi="宋体" w:eastAsia="宋体" w:cs="Arial"/>
          <w:b/>
          <w:bCs/>
          <w:sz w:val="24"/>
          <w14:ligatures w14:val="none"/>
        </w:rPr>
      </w:pPr>
      <w:r>
        <w:rPr>
          <w:rFonts w:hint="eastAsia" w:ascii="宋体" w:hAnsi="宋体" w:eastAsia="宋体" w:cs="Arial"/>
          <w:b/>
          <w:bCs/>
          <w:sz w:val="24"/>
          <w14:ligatures w14:val="none"/>
        </w:rPr>
        <w:br w:type="page"/>
      </w:r>
    </w:p>
    <w:p w14:paraId="797170D5">
      <w:pPr>
        <w:spacing w:after="0" w:line="240" w:lineRule="auto"/>
        <w:ind w:firstLine="480" w:firstLineChars="200"/>
        <w:jc w:val="both"/>
        <w:rPr>
          <w:rFonts w:hint="eastAsia" w:ascii="宋体" w:hAnsi="宋体" w:eastAsia="宋体" w:cs="Arial"/>
          <w:sz w:val="24"/>
          <w14:ligatures w14:val="none"/>
        </w:rPr>
      </w:pPr>
      <w:r>
        <w:rPr>
          <w:rFonts w:hint="eastAsia" w:ascii="宋体" w:hAnsi="宋体" w:eastAsia="宋体" w:cs="Arial"/>
          <w:sz w:val="24"/>
          <w14:ligatures w14:val="none"/>
        </w:rPr>
        <w:t>附件 1 端午粽价格清单（详见附件7报价清单）</w:t>
      </w:r>
    </w:p>
    <w:p w14:paraId="1002A52D">
      <w:pPr>
        <w:widowControl/>
        <w:ind w:firstLine="480" w:firstLineChars="200"/>
        <w:rPr>
          <w:rFonts w:hint="eastAsia" w:ascii="宋体" w:hAnsi="宋体" w:eastAsia="宋体" w:cs="Arial"/>
          <w:sz w:val="24"/>
          <w14:ligatures w14:val="none"/>
        </w:rPr>
      </w:pPr>
    </w:p>
    <w:p w14:paraId="50876452">
      <w:pPr>
        <w:widowControl/>
        <w:ind w:firstLine="480" w:firstLineChars="200"/>
        <w:rPr>
          <w:rFonts w:hint="eastAsia" w:ascii="宋体" w:hAnsi="宋体" w:eastAsia="宋体" w:cs="Arial"/>
          <w:sz w:val="24"/>
          <w14:ligatures w14:val="none"/>
        </w:rPr>
      </w:pPr>
      <w:r>
        <w:rPr>
          <w:rFonts w:hint="eastAsia" w:ascii="宋体" w:hAnsi="宋体" w:eastAsia="宋体" w:cs="Arial"/>
          <w:sz w:val="24"/>
          <w14:ligatures w14:val="none"/>
        </w:rPr>
        <w:t>附件2</w:t>
      </w:r>
    </w:p>
    <w:p w14:paraId="752087BC">
      <w:pPr>
        <w:spacing w:after="0" w:line="240" w:lineRule="auto"/>
        <w:jc w:val="center"/>
        <w:rPr>
          <w:rFonts w:hint="eastAsia" w:ascii="宋体" w:hAnsi="宋体" w:eastAsia="宋体" w:cs="宋体"/>
          <w:b/>
          <w:bCs/>
          <w:sz w:val="36"/>
          <w:szCs w:val="36"/>
          <w14:ligatures w14:val="none"/>
        </w:rPr>
      </w:pPr>
      <w:r>
        <w:rPr>
          <w:rFonts w:hint="eastAsia" w:ascii="宋体" w:hAnsi="宋体" w:eastAsia="宋体" w:cs="宋体"/>
          <w:b/>
          <w:bCs/>
          <w:sz w:val="36"/>
          <w:szCs w:val="36"/>
          <w14:ligatures w14:val="none"/>
        </w:rPr>
        <w:t>广州中大餐饮管理有限公司</w:t>
      </w:r>
    </w:p>
    <w:p w14:paraId="7C04315A">
      <w:pPr>
        <w:spacing w:after="0" w:line="240" w:lineRule="auto"/>
        <w:jc w:val="center"/>
        <w:rPr>
          <w:rFonts w:hint="eastAsia" w:ascii="宋体" w:hAnsi="宋体" w:eastAsia="宋体" w:cs="宋体"/>
          <w:b/>
          <w:bCs/>
          <w:sz w:val="36"/>
          <w:szCs w:val="36"/>
          <w14:ligatures w14:val="none"/>
        </w:rPr>
      </w:pPr>
      <w:r>
        <w:rPr>
          <w:rFonts w:hint="eastAsia" w:ascii="宋体" w:hAnsi="宋体" w:eastAsia="宋体" w:cs="宋体"/>
          <w:b/>
          <w:bCs/>
          <w:sz w:val="36"/>
          <w:szCs w:val="36"/>
          <w14:ligatures w14:val="none"/>
        </w:rPr>
        <w:t>供应商供货异常处理方式（试行）</w:t>
      </w:r>
    </w:p>
    <w:tbl>
      <w:tblPr>
        <w:tblStyle w:val="12"/>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033"/>
        <w:gridCol w:w="5165"/>
        <w:gridCol w:w="1197"/>
      </w:tblGrid>
      <w:tr w14:paraId="583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87" w:type="dxa"/>
            <w:vAlign w:val="center"/>
          </w:tcPr>
          <w:p w14:paraId="47E645DA">
            <w:pPr>
              <w:spacing w:after="0" w:line="240" w:lineRule="auto"/>
              <w:jc w:val="center"/>
              <w:rPr>
                <w:rFonts w:hint="eastAsia" w:ascii="宋体" w:hAnsi="宋体" w:eastAsia="宋体" w:cs="宋体"/>
                <w:b/>
                <w:kern w:val="0"/>
                <w:sz w:val="24"/>
                <w:szCs w:val="20"/>
                <w14:ligatures w14:val="none"/>
              </w:rPr>
            </w:pPr>
            <w:r>
              <w:rPr>
                <w:rFonts w:hint="eastAsia" w:ascii="宋体" w:hAnsi="宋体" w:eastAsia="宋体" w:cs="宋体"/>
                <w:b/>
                <w:kern w:val="0"/>
                <w:sz w:val="24"/>
                <w:szCs w:val="20"/>
                <w14:ligatures w14:val="none"/>
              </w:rPr>
              <w:t>问题类别</w:t>
            </w:r>
          </w:p>
        </w:tc>
        <w:tc>
          <w:tcPr>
            <w:tcW w:w="2033" w:type="dxa"/>
            <w:vAlign w:val="center"/>
          </w:tcPr>
          <w:p w14:paraId="68129548">
            <w:pPr>
              <w:spacing w:after="0" w:line="240" w:lineRule="auto"/>
              <w:jc w:val="center"/>
              <w:rPr>
                <w:rFonts w:hint="eastAsia" w:ascii="宋体" w:hAnsi="宋体" w:eastAsia="宋体" w:cs="宋体"/>
                <w:b/>
                <w:kern w:val="0"/>
                <w:sz w:val="24"/>
                <w:szCs w:val="20"/>
                <w14:ligatures w14:val="none"/>
              </w:rPr>
            </w:pPr>
            <w:r>
              <w:rPr>
                <w:rFonts w:hint="eastAsia" w:ascii="宋体" w:hAnsi="宋体" w:eastAsia="宋体" w:cs="宋体"/>
                <w:b/>
                <w:kern w:val="0"/>
                <w:sz w:val="24"/>
                <w:szCs w:val="20"/>
                <w14:ligatures w14:val="none"/>
              </w:rPr>
              <w:t>问题说明</w:t>
            </w:r>
          </w:p>
        </w:tc>
        <w:tc>
          <w:tcPr>
            <w:tcW w:w="5165" w:type="dxa"/>
            <w:vAlign w:val="center"/>
          </w:tcPr>
          <w:p w14:paraId="2BF5EA3C">
            <w:pPr>
              <w:spacing w:after="0" w:line="240" w:lineRule="auto"/>
              <w:jc w:val="center"/>
              <w:rPr>
                <w:rFonts w:hint="eastAsia" w:ascii="宋体" w:hAnsi="宋体" w:eastAsia="宋体" w:cs="宋体"/>
                <w:b/>
                <w:kern w:val="0"/>
                <w:sz w:val="24"/>
                <w:szCs w:val="20"/>
                <w14:ligatures w14:val="none"/>
              </w:rPr>
            </w:pPr>
            <w:r>
              <w:rPr>
                <w:rFonts w:hint="eastAsia" w:ascii="宋体" w:hAnsi="宋体" w:eastAsia="宋体" w:cs="宋体"/>
                <w:b/>
                <w:kern w:val="0"/>
                <w:sz w:val="24"/>
                <w:szCs w:val="20"/>
                <w14:ligatures w14:val="none"/>
              </w:rPr>
              <w:t>处理方式</w:t>
            </w:r>
          </w:p>
        </w:tc>
        <w:tc>
          <w:tcPr>
            <w:tcW w:w="1197" w:type="dxa"/>
            <w:vAlign w:val="center"/>
          </w:tcPr>
          <w:p w14:paraId="1427DC09">
            <w:pPr>
              <w:spacing w:after="0" w:line="240" w:lineRule="auto"/>
              <w:jc w:val="center"/>
              <w:rPr>
                <w:rFonts w:hint="eastAsia" w:ascii="宋体" w:hAnsi="宋体" w:eastAsia="宋体" w:cs="宋体"/>
                <w:b/>
                <w:kern w:val="0"/>
                <w:sz w:val="24"/>
                <w:szCs w:val="20"/>
                <w14:ligatures w14:val="none"/>
              </w:rPr>
            </w:pPr>
            <w:r>
              <w:rPr>
                <w:rFonts w:hint="eastAsia" w:ascii="宋体" w:hAnsi="宋体" w:eastAsia="宋体" w:cs="宋体"/>
                <w:b/>
                <w:kern w:val="0"/>
                <w:sz w:val="24"/>
                <w:szCs w:val="20"/>
                <w14:ligatures w14:val="none"/>
              </w:rPr>
              <w:t>备注</w:t>
            </w:r>
          </w:p>
        </w:tc>
      </w:tr>
      <w:tr w14:paraId="1270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287" w:type="dxa"/>
            <w:vMerge w:val="restart"/>
            <w:vAlign w:val="center"/>
          </w:tcPr>
          <w:p w14:paraId="6D36015A">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送货异常</w:t>
            </w:r>
          </w:p>
        </w:tc>
        <w:tc>
          <w:tcPr>
            <w:tcW w:w="2033" w:type="dxa"/>
            <w:vAlign w:val="center"/>
          </w:tcPr>
          <w:p w14:paraId="4BDEDA46">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延迟交货</w:t>
            </w:r>
          </w:p>
        </w:tc>
        <w:tc>
          <w:tcPr>
            <w:tcW w:w="5165" w:type="dxa"/>
            <w:vAlign w:val="center"/>
          </w:tcPr>
          <w:p w14:paraId="3F687D95">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一、当天送货迟到、补货不及时：</w:t>
            </w:r>
          </w:p>
          <w:p w14:paraId="26A681EA">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1、一学期内第一次延迟交货，进行口头警告并记录存档；</w:t>
            </w:r>
          </w:p>
          <w:p w14:paraId="5CD2BE1B">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2、一学期内第二次延迟交货，扣除当批该品种总货款的20％作为处罚，出具供应商整改通知单要求整改；</w:t>
            </w:r>
          </w:p>
          <w:p w14:paraId="1BD3F252">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3、一学期内第三次延迟交货，扣除当批该品种总货款的50％作为处罚，出具供应商整改通知单要求整改；</w:t>
            </w:r>
          </w:p>
          <w:p w14:paraId="2D03E578">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4、一学期内第四次延迟交货，扣除当批该品种总货款的100％作为处罚，出具供应商整改通知单要求整改，情节严重的约谈。</w:t>
            </w:r>
          </w:p>
          <w:p w14:paraId="0986F07C">
            <w:pPr>
              <w:spacing w:after="0" w:line="240" w:lineRule="auto"/>
              <w:jc w:val="both"/>
              <w:rPr>
                <w:rFonts w:hint="eastAsia" w:ascii="宋体" w:hAnsi="宋体" w:eastAsia="宋体" w:cs="宋体"/>
                <w:kern w:val="0"/>
                <w:sz w:val="21"/>
                <w:szCs w:val="21"/>
                <w14:ligatures w14:val="none"/>
              </w:rPr>
            </w:pPr>
          </w:p>
          <w:p w14:paraId="18C467E4">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不可抗力因素除外（台风，洪水，地震，冰雹，疫情区域管制）。</w:t>
            </w:r>
          </w:p>
          <w:p w14:paraId="41D25B10">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以下情况可酌情处理：送货途中坏车，马上向下单部门报备，尽快安排转车/重新配送/就近采购减少对使用部门的影响，同时提供水印相机拍照，收费路段提供单据。</w:t>
            </w:r>
          </w:p>
        </w:tc>
        <w:tc>
          <w:tcPr>
            <w:tcW w:w="1197" w:type="dxa"/>
            <w:vMerge w:val="restart"/>
            <w:vAlign w:val="center"/>
          </w:tcPr>
          <w:p w14:paraId="3DFC485C">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列入供应商年度考核依据</w:t>
            </w:r>
          </w:p>
        </w:tc>
      </w:tr>
      <w:tr w14:paraId="6B6F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287" w:type="dxa"/>
            <w:vMerge w:val="continue"/>
            <w:vAlign w:val="center"/>
          </w:tcPr>
          <w:p w14:paraId="097DDA2F">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3C27EBD4">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少送错漏</w:t>
            </w:r>
          </w:p>
        </w:tc>
        <w:tc>
          <w:tcPr>
            <w:tcW w:w="5165" w:type="dxa"/>
            <w:vAlign w:val="center"/>
          </w:tcPr>
          <w:p w14:paraId="628F0B0A">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一、供应商按公司使用部门要求及时补货，补货不及时按延迟交货处理方式处理，使用部门无需补货的：</w:t>
            </w:r>
          </w:p>
          <w:p w14:paraId="24A77579">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1、一学期内出现第一次，进行口头警告并记录存档；</w:t>
            </w:r>
          </w:p>
          <w:p w14:paraId="47525994">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2、一学期内出现第二次，扣除当批该品种总货款的10％作为处罚，出具供应商整改通知单要求整改；</w:t>
            </w:r>
          </w:p>
          <w:p w14:paraId="3D436C91">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3、一学期内出现第三次，扣除当批该品种总货款的20％作为处罚，出具供应商整改通知单要求整改；</w:t>
            </w:r>
          </w:p>
          <w:p w14:paraId="5EA8BC6F">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4一学期度内出现第四次，扣除当批该品种总货款的50％作为处罚，出具供应商整改通知单要求整改，情节严重的约谈。</w:t>
            </w:r>
          </w:p>
          <w:p w14:paraId="0A51CC4A">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二、未按订单或补货到货时间送货，影响生产使用须公司启动应急采购从其他供应商调货/市场采买的</w:t>
            </w:r>
          </w:p>
          <w:p w14:paraId="7F16DDD0">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1、一学期内出现第一次，从其他供应商/市场采买的差价由缺货方承担，情节严重的另按应急采购当批该品种总货款的10%扣罚，出具供应商整改通知单要求整改；</w:t>
            </w:r>
          </w:p>
          <w:p w14:paraId="2B4877D7">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2、一学期内出现第二次及以上，从其他供应商/市场采买的差价由缺货方承担，按应急采购当批该品种总货款的20%扣罚，出具供应商整改通知单要求整改。</w:t>
            </w:r>
          </w:p>
        </w:tc>
        <w:tc>
          <w:tcPr>
            <w:tcW w:w="1197" w:type="dxa"/>
            <w:vMerge w:val="continue"/>
            <w:vAlign w:val="center"/>
          </w:tcPr>
          <w:p w14:paraId="162A2F93">
            <w:pPr>
              <w:spacing w:after="0" w:line="240" w:lineRule="auto"/>
              <w:jc w:val="center"/>
              <w:rPr>
                <w:rFonts w:hint="eastAsia" w:ascii="宋体" w:hAnsi="宋体" w:eastAsia="宋体" w:cs="宋体"/>
                <w:kern w:val="0"/>
                <w:sz w:val="21"/>
                <w:szCs w:val="21"/>
                <w14:ligatures w14:val="none"/>
              </w:rPr>
            </w:pPr>
          </w:p>
        </w:tc>
      </w:tr>
      <w:tr w14:paraId="1F44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7" w:type="dxa"/>
            <w:vMerge w:val="continue"/>
            <w:vAlign w:val="center"/>
          </w:tcPr>
          <w:p w14:paraId="3E957BBE">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07B8FCEC">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验收产品信息不符（如包含缺斤少两、货不对版、标签错漏、包装袋受损漏气外观脏（单包送货）、周转箱脏、车辆没有清洁消毒、过期产品等）</w:t>
            </w:r>
          </w:p>
        </w:tc>
        <w:tc>
          <w:tcPr>
            <w:tcW w:w="5165" w:type="dxa"/>
            <w:vAlign w:val="center"/>
          </w:tcPr>
          <w:p w14:paraId="5ECB957E">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1、同一类异常一学期内出现第一次，进行口头警告并记录存档；</w:t>
            </w:r>
          </w:p>
          <w:p w14:paraId="4332DF9C">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2、同一类异常一学期内出现第二次，扣除当批该品种总货款的10％作为处罚，出具供应商整改通知单要求整改；</w:t>
            </w:r>
          </w:p>
          <w:p w14:paraId="11B93F8A">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3、同一类异常一学期内出现第三次，扣除当批该品种总货款的20％作为处罚，出具供应商整改通知单要求整改；</w:t>
            </w:r>
          </w:p>
          <w:p w14:paraId="0AC738C6">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4、同一类异常一学期内出现第四次，扣除当批该品种总货款的50％作为处罚，出具供应商整改通知单要求整改，情节严重的约谈。</w:t>
            </w:r>
          </w:p>
          <w:p w14:paraId="17D9BAC8">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特殊情况：冻品类产品净重正负偏差值在±0.1kg以内属于正常，不予扣罚。</w:t>
            </w:r>
          </w:p>
          <w:p w14:paraId="16DF3CA3">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超出保质期：</w:t>
            </w:r>
          </w:p>
          <w:p w14:paraId="0D25F29D">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1、一学期内出现第一次，退货，扣除当批该品种总货款的50％作为处罚，出具供应商整改通知单要求整改；</w:t>
            </w:r>
          </w:p>
          <w:p w14:paraId="03D929C3">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2、一学期内出现第二次，扣除当批该品种总货款的100％作为处罚，出具供应商整改通知单要求整改，暂停供应，情节严重的约谈。</w:t>
            </w:r>
          </w:p>
        </w:tc>
        <w:tc>
          <w:tcPr>
            <w:tcW w:w="1197" w:type="dxa"/>
            <w:vMerge w:val="continue"/>
            <w:vAlign w:val="center"/>
          </w:tcPr>
          <w:p w14:paraId="3D23BE36">
            <w:pPr>
              <w:spacing w:after="0" w:line="240" w:lineRule="auto"/>
              <w:jc w:val="center"/>
              <w:rPr>
                <w:rFonts w:hint="eastAsia" w:ascii="宋体" w:hAnsi="宋体" w:eastAsia="宋体" w:cs="宋体"/>
                <w:kern w:val="0"/>
                <w:sz w:val="21"/>
                <w:szCs w:val="21"/>
                <w14:ligatures w14:val="none"/>
              </w:rPr>
            </w:pPr>
          </w:p>
        </w:tc>
      </w:tr>
      <w:tr w14:paraId="2148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87" w:type="dxa"/>
            <w:vMerge w:val="continue"/>
            <w:vAlign w:val="center"/>
          </w:tcPr>
          <w:p w14:paraId="30C8385B">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0C26B67B">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缺证、验收检测不合格</w:t>
            </w:r>
          </w:p>
          <w:p w14:paraId="443341BC">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（如缺证缺票，票据信息有误，送货单未盖章等）</w:t>
            </w:r>
          </w:p>
        </w:tc>
        <w:tc>
          <w:tcPr>
            <w:tcW w:w="5165" w:type="dxa"/>
            <w:vAlign w:val="center"/>
          </w:tcPr>
          <w:p w14:paraId="7D6D93D9">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1、同一品种一学期内出现第一次，应及时补证，口头警告并记录存档；</w:t>
            </w:r>
          </w:p>
          <w:p w14:paraId="6FCDE1C4">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2、同一品种一学期内出现第二次，应及时补证，扣除当批该品种总货款的10％作为处罚，出具供应商整改通知单要求整改；</w:t>
            </w:r>
          </w:p>
          <w:p w14:paraId="485B18CF">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3、同一品种一学期内出现第三次，待有提供关键证再收货，扣除当批该品种总货款的20％作为处罚，出具供应商整改通知单要求整改。</w:t>
            </w:r>
          </w:p>
          <w:p w14:paraId="69D399BC">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4、同一品种一学期内出现第四次，待有提供关键证再收货，扣除当批该品种总货款的50％作为处罚，出具供应商整改通知单要求整改，情节严重的约谈。</w:t>
            </w:r>
          </w:p>
          <w:p w14:paraId="75BDA7A5">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（缺证、及时补证说明：缺证的认定，指在规定的缓冲期时间内（4小时内），仍未能正确完整的提供符合要求的票证的情况。如未随货提供证件，但在规定期限内完成补证，则不在此列）</w:t>
            </w:r>
          </w:p>
        </w:tc>
        <w:tc>
          <w:tcPr>
            <w:tcW w:w="1197" w:type="dxa"/>
            <w:vMerge w:val="continue"/>
            <w:vAlign w:val="center"/>
          </w:tcPr>
          <w:p w14:paraId="07D569CB">
            <w:pPr>
              <w:spacing w:after="0" w:line="240" w:lineRule="auto"/>
              <w:jc w:val="center"/>
              <w:rPr>
                <w:rFonts w:hint="eastAsia" w:ascii="宋体" w:hAnsi="宋体" w:eastAsia="宋体" w:cs="宋体"/>
                <w:kern w:val="0"/>
                <w:sz w:val="21"/>
                <w:szCs w:val="21"/>
                <w14:ligatures w14:val="none"/>
              </w:rPr>
            </w:pPr>
          </w:p>
        </w:tc>
      </w:tr>
      <w:tr w14:paraId="5FC4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287" w:type="dxa"/>
            <w:vMerge w:val="restart"/>
            <w:vAlign w:val="center"/>
          </w:tcPr>
          <w:p w14:paraId="6CB8CD04">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品质问题</w:t>
            </w:r>
          </w:p>
        </w:tc>
        <w:tc>
          <w:tcPr>
            <w:tcW w:w="2033" w:type="dxa"/>
            <w:vAlign w:val="center"/>
          </w:tcPr>
          <w:p w14:paraId="089DF3CA">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品质问题让步接收</w:t>
            </w:r>
          </w:p>
        </w:tc>
        <w:tc>
          <w:tcPr>
            <w:tcW w:w="5165" w:type="dxa"/>
            <w:vAlign w:val="center"/>
          </w:tcPr>
          <w:p w14:paraId="2E9E3E10">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如有轻微问题，不影响质量安全和使用的，可进行让步接受。同时反馈供应商整改。</w:t>
            </w:r>
          </w:p>
        </w:tc>
        <w:tc>
          <w:tcPr>
            <w:tcW w:w="1197" w:type="dxa"/>
            <w:vMerge w:val="restart"/>
            <w:vAlign w:val="center"/>
          </w:tcPr>
          <w:p w14:paraId="07BFAFB4">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列入供应商年度考核依据</w:t>
            </w:r>
          </w:p>
        </w:tc>
      </w:tr>
      <w:tr w14:paraId="33F8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87" w:type="dxa"/>
            <w:vMerge w:val="continue"/>
            <w:vAlign w:val="center"/>
          </w:tcPr>
          <w:p w14:paraId="0454D609">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45A3C474">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含冰量超标</w:t>
            </w:r>
          </w:p>
        </w:tc>
        <w:tc>
          <w:tcPr>
            <w:tcW w:w="5165" w:type="dxa"/>
            <w:vAlign w:val="center"/>
          </w:tcPr>
          <w:p w14:paraId="36B45DEC">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产品含冰量超出定价标准：</w:t>
            </w:r>
          </w:p>
          <w:p w14:paraId="40840106">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一、含冰量超出定价标准5%以内的情况：扣减当批次超出定标含冰量部分差额或已使用的扣减差额未使用的库存当批次全部换货符合要求产品，出具供应商整改通知单要求整改。</w:t>
            </w:r>
          </w:p>
          <w:p w14:paraId="2328184D">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二、含冰量超出定价标准5%及以上的情况：</w:t>
            </w:r>
          </w:p>
          <w:p w14:paraId="543902A3">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扣减当批次超出定标含冰量部分差额或已使用的扣减差额未使用的库存当批次全部换货符合要求产品，另扣罚当批该品种总货款的5％作为处罚，出具供应商整改通知单要求整改。</w:t>
            </w:r>
          </w:p>
        </w:tc>
        <w:tc>
          <w:tcPr>
            <w:tcW w:w="1197" w:type="dxa"/>
            <w:vMerge w:val="continue"/>
            <w:vAlign w:val="center"/>
          </w:tcPr>
          <w:p w14:paraId="2A26F7B1">
            <w:pPr>
              <w:spacing w:after="0" w:line="240" w:lineRule="auto"/>
              <w:jc w:val="center"/>
              <w:rPr>
                <w:rFonts w:hint="eastAsia" w:ascii="宋体" w:hAnsi="宋体" w:eastAsia="宋体" w:cs="宋体"/>
                <w:kern w:val="0"/>
                <w:sz w:val="21"/>
                <w:szCs w:val="21"/>
                <w14:ligatures w14:val="none"/>
              </w:rPr>
            </w:pPr>
          </w:p>
        </w:tc>
      </w:tr>
      <w:tr w14:paraId="1AD6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87" w:type="dxa"/>
            <w:vMerge w:val="continue"/>
            <w:vAlign w:val="center"/>
          </w:tcPr>
          <w:p w14:paraId="714C0288">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0C0A0788">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品质问题退货</w:t>
            </w:r>
          </w:p>
          <w:p w14:paraId="77CFA413">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（食材腐败、变质、发霉、淋巴肉等）（红线问题）</w:t>
            </w:r>
          </w:p>
        </w:tc>
        <w:tc>
          <w:tcPr>
            <w:tcW w:w="5165" w:type="dxa"/>
            <w:vAlign w:val="center"/>
          </w:tcPr>
          <w:p w14:paraId="73D66B87">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1、同一品种一学期内出现第一次，扣除当批该品种总货款的20％作为处罚，出具供应商整改通知单要求整改；</w:t>
            </w:r>
          </w:p>
          <w:p w14:paraId="03E8195A">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2、同一品种一学期内出现第二次，扣除当批该品种总货款的50％作为处罚，出具供应商整改通知单要求整改；</w:t>
            </w:r>
          </w:p>
          <w:p w14:paraId="7A21362F">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3、同一品种一学期内出现第三次，扣除当批该品种总货款的100％作为处罚，出具供应商整改通知单要求整改，情节严重的约谈，暂停供应至提供第三方检测证明。</w:t>
            </w:r>
          </w:p>
        </w:tc>
        <w:tc>
          <w:tcPr>
            <w:tcW w:w="1197" w:type="dxa"/>
            <w:vMerge w:val="continue"/>
            <w:vAlign w:val="center"/>
          </w:tcPr>
          <w:p w14:paraId="67289485">
            <w:pPr>
              <w:spacing w:after="0" w:line="240" w:lineRule="auto"/>
              <w:jc w:val="center"/>
              <w:rPr>
                <w:rFonts w:hint="eastAsia" w:ascii="宋体" w:hAnsi="宋体" w:eastAsia="宋体" w:cs="宋体"/>
                <w:kern w:val="0"/>
                <w:sz w:val="21"/>
                <w:szCs w:val="21"/>
                <w14:ligatures w14:val="none"/>
              </w:rPr>
            </w:pPr>
          </w:p>
        </w:tc>
      </w:tr>
      <w:tr w14:paraId="1D36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87" w:type="dxa"/>
            <w:vMerge w:val="continue"/>
            <w:vAlign w:val="center"/>
          </w:tcPr>
          <w:p w14:paraId="36890CA6">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42B70D9A">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品质问题挑选</w:t>
            </w:r>
          </w:p>
        </w:tc>
        <w:tc>
          <w:tcPr>
            <w:tcW w:w="5165" w:type="dxa"/>
            <w:vAlign w:val="center"/>
          </w:tcPr>
          <w:p w14:paraId="0391A9DC">
            <w:pPr>
              <w:numPr>
                <w:ilvl w:val="0"/>
                <w:numId w:val="21"/>
              </w:numPr>
              <w:spacing w:after="0" w:line="240" w:lineRule="auto"/>
              <w:ind w:firstLine="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如因各种原因，需要挑选的，由供应商进行现场挑选；</w:t>
            </w:r>
          </w:p>
          <w:p w14:paraId="062E1965">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2、使用方挑选的，按2倍的人工成本进行处罚。</w:t>
            </w:r>
          </w:p>
        </w:tc>
        <w:tc>
          <w:tcPr>
            <w:tcW w:w="1197" w:type="dxa"/>
            <w:vMerge w:val="continue"/>
            <w:vAlign w:val="center"/>
          </w:tcPr>
          <w:p w14:paraId="3190DB35">
            <w:pPr>
              <w:spacing w:after="0" w:line="240" w:lineRule="auto"/>
              <w:jc w:val="center"/>
              <w:rPr>
                <w:rFonts w:hint="eastAsia" w:ascii="宋体" w:hAnsi="宋体" w:eastAsia="宋体" w:cs="宋体"/>
                <w:kern w:val="0"/>
                <w:sz w:val="21"/>
                <w:szCs w:val="21"/>
                <w14:ligatures w14:val="none"/>
              </w:rPr>
            </w:pPr>
          </w:p>
        </w:tc>
      </w:tr>
      <w:tr w14:paraId="27DA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287" w:type="dxa"/>
            <w:vMerge w:val="continue"/>
            <w:vAlign w:val="center"/>
          </w:tcPr>
          <w:p w14:paraId="49BAD5ED">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1FADB041">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投诉（供应商原因）</w:t>
            </w:r>
          </w:p>
        </w:tc>
        <w:tc>
          <w:tcPr>
            <w:tcW w:w="5165" w:type="dxa"/>
            <w:vAlign w:val="center"/>
          </w:tcPr>
          <w:p w14:paraId="654F6835">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1、使用单位（食堂、中央厨房）投诉，根据实际调查情况进行补、退、换货处理，影响到生产使用的，另给予每次1000元处罚，以作警示；情节严重可罚1000元以上，处罚金额依事项性质及造成影响程度决定。</w:t>
            </w:r>
          </w:p>
          <w:p w14:paraId="325D94BE">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2、顾客（消费者）投诉，按赔付金额的两倍处罚，并承担相关的法律责任及我方损失。</w:t>
            </w:r>
          </w:p>
        </w:tc>
        <w:tc>
          <w:tcPr>
            <w:tcW w:w="1197" w:type="dxa"/>
            <w:vMerge w:val="continue"/>
            <w:vAlign w:val="center"/>
          </w:tcPr>
          <w:p w14:paraId="4B200E8C">
            <w:pPr>
              <w:spacing w:after="0" w:line="240" w:lineRule="auto"/>
              <w:jc w:val="center"/>
              <w:rPr>
                <w:rFonts w:hint="eastAsia" w:ascii="宋体" w:hAnsi="宋体" w:eastAsia="宋体" w:cs="宋体"/>
                <w:kern w:val="0"/>
                <w:sz w:val="21"/>
                <w:szCs w:val="21"/>
                <w14:ligatures w14:val="none"/>
              </w:rPr>
            </w:pPr>
          </w:p>
        </w:tc>
      </w:tr>
      <w:tr w14:paraId="1C63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1287" w:type="dxa"/>
            <w:vMerge w:val="restart"/>
            <w:vAlign w:val="center"/>
          </w:tcPr>
          <w:p w14:paraId="1242BF88">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异物发生</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（工业异物、外源性生物类异物）</w:t>
            </w:r>
          </w:p>
          <w:p w14:paraId="25BA8F69">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011C822B">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轻微异物</w:t>
            </w:r>
          </w:p>
          <w:p w14:paraId="3DBA68FD">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（如原材料表面的头发丝、包装绳等）</w:t>
            </w:r>
          </w:p>
        </w:tc>
        <w:tc>
          <w:tcPr>
            <w:tcW w:w="5165" w:type="dxa"/>
            <w:vAlign w:val="center"/>
          </w:tcPr>
          <w:p w14:paraId="335A82AF">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出现有异物的情况，判定为供应商原因的：</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1、同一品种一学期内出现第一次，扣除当批该品种总货款的20％作为处罚，出具供应商整改通知单要求整改；</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2、同一品种同一学期内出现第二次，扣除当批该品种总货款的50％作为处罚，出具供应商整改通知单要求整改；</w:t>
            </w:r>
          </w:p>
          <w:p w14:paraId="32545189">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3、同一品种同一学期内出现第三次，扣除当批该品种总货款的100％作为处罚，出具供应商整改通知单要求整改，情节严重的约谈。</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如顾客（消费者）投诉的，情节严重的另处罚1000元以上或按赔付金额的两倍处罚，并承担相关的法律责任及我方损失。</w:t>
            </w:r>
          </w:p>
        </w:tc>
        <w:tc>
          <w:tcPr>
            <w:tcW w:w="1197" w:type="dxa"/>
            <w:vAlign w:val="center"/>
          </w:tcPr>
          <w:p w14:paraId="67C8C611">
            <w:pPr>
              <w:spacing w:after="0" w:line="240" w:lineRule="auto"/>
              <w:jc w:val="center"/>
              <w:rPr>
                <w:rFonts w:hint="eastAsia" w:ascii="宋体" w:hAnsi="宋体" w:eastAsia="宋体" w:cs="宋体"/>
                <w:kern w:val="0"/>
                <w:sz w:val="21"/>
                <w:szCs w:val="21"/>
                <w14:ligatures w14:val="none"/>
              </w:rPr>
            </w:pPr>
          </w:p>
        </w:tc>
      </w:tr>
      <w:tr w14:paraId="3230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87" w:type="dxa"/>
            <w:vMerge w:val="continue"/>
            <w:vAlign w:val="center"/>
          </w:tcPr>
          <w:p w14:paraId="2A10C9D3">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611B6D88">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食品安全性异物</w:t>
            </w:r>
          </w:p>
          <w:p w14:paraId="7445D7FD">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（如原材料表面上的金属物、蚊虫鼠蚁、蟑螂等）</w:t>
            </w:r>
          </w:p>
        </w:tc>
        <w:tc>
          <w:tcPr>
            <w:tcW w:w="5165" w:type="dxa"/>
            <w:vAlign w:val="center"/>
          </w:tcPr>
          <w:p w14:paraId="367C0018">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出现有异物的情况，判定为供应商原因的：</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1、同一品种同一学期内出现第一次，扣除当批该品种总货款的50％作为处罚，出具供应商整改通知单要求整改；</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2、同一品种同一学期内出现第二次，扣除当批该品种总货款的100％作为处罚，出具供应商整改通知单要求整改，情节严重的约谈。</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如顾客（消费者）投诉的，情节严重的另处罚1000元以上或按赔付金额的两倍处罚，并承担相关的法律责任及我方损失。</w:t>
            </w:r>
          </w:p>
        </w:tc>
        <w:tc>
          <w:tcPr>
            <w:tcW w:w="1197" w:type="dxa"/>
            <w:vMerge w:val="restart"/>
            <w:vAlign w:val="center"/>
          </w:tcPr>
          <w:p w14:paraId="4E1C63DF">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列入供应商年度考核依据</w:t>
            </w:r>
          </w:p>
        </w:tc>
      </w:tr>
      <w:tr w14:paraId="07A4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287" w:type="dxa"/>
            <w:vMerge w:val="continue"/>
            <w:vAlign w:val="center"/>
          </w:tcPr>
          <w:p w14:paraId="0085FF96">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2FAAC8A7">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批量整包原材料，表面不容易查看到安全风险的异物</w:t>
            </w:r>
          </w:p>
          <w:p w14:paraId="45E07A1F">
            <w:pPr>
              <w:spacing w:after="0" w:line="240" w:lineRule="auto"/>
              <w:jc w:val="center"/>
              <w:rPr>
                <w:rFonts w:hint="eastAsia" w:ascii="宋体" w:hAnsi="宋体" w:eastAsia="宋体" w:cs="宋体"/>
                <w:kern w:val="0"/>
                <w:sz w:val="21"/>
                <w:szCs w:val="21"/>
                <w14:ligatures w14:val="none"/>
              </w:rPr>
            </w:pPr>
          </w:p>
        </w:tc>
        <w:tc>
          <w:tcPr>
            <w:tcW w:w="5165" w:type="dxa"/>
            <w:vAlign w:val="center"/>
          </w:tcPr>
          <w:p w14:paraId="4FB9D93B">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1、同一品种同一学期内出现第一次，扣除当批该品种总货款的10％作为处罚，出具供应商整改通知单要求整改；</w:t>
            </w:r>
          </w:p>
          <w:p w14:paraId="27CF860D">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2、同一品种同一学期内出现第二次，扣除当批该品种总货款的20％作为处罚，出具供应商整改通知单要求整改；</w:t>
            </w:r>
          </w:p>
          <w:p w14:paraId="5F565D7D">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3、同一品种同一学期内出现第三次，扣除当批该品种总货款的50％作为处罚，出具供应商整改通知单要求整改，情节严重的约谈。</w:t>
            </w:r>
          </w:p>
          <w:p w14:paraId="0F4D6A2B">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如顾客（消费者）投诉的，情节严重的另处罚1000元以上或按赔付金额的两倍处罚，并承担相关的法律责任及我方损失。</w:t>
            </w:r>
          </w:p>
        </w:tc>
        <w:tc>
          <w:tcPr>
            <w:tcW w:w="1197" w:type="dxa"/>
            <w:vMerge w:val="continue"/>
            <w:vAlign w:val="center"/>
          </w:tcPr>
          <w:p w14:paraId="27EE9A5C">
            <w:pPr>
              <w:spacing w:after="0" w:line="240" w:lineRule="auto"/>
              <w:jc w:val="center"/>
              <w:rPr>
                <w:rFonts w:hint="eastAsia" w:ascii="宋体" w:hAnsi="宋体" w:eastAsia="宋体" w:cs="宋体"/>
                <w:kern w:val="0"/>
                <w:sz w:val="21"/>
                <w:szCs w:val="21"/>
                <w14:ligatures w14:val="none"/>
              </w:rPr>
            </w:pPr>
          </w:p>
        </w:tc>
      </w:tr>
      <w:tr w14:paraId="573E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287" w:type="dxa"/>
            <w:vMerge w:val="restart"/>
            <w:vAlign w:val="center"/>
          </w:tcPr>
          <w:p w14:paraId="4F77E317">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食品安全异常</w:t>
            </w:r>
          </w:p>
          <w:p w14:paraId="454FC49E">
            <w:pPr>
              <w:spacing w:after="0" w:line="240" w:lineRule="auto"/>
              <w:jc w:val="both"/>
              <w:rPr>
                <w:rFonts w:hint="eastAsia" w:ascii="宋体" w:hAnsi="宋体" w:eastAsia="宋体" w:cs="宋体"/>
                <w:kern w:val="0"/>
                <w:sz w:val="21"/>
                <w:szCs w:val="21"/>
                <w14:ligatures w14:val="none"/>
              </w:rPr>
            </w:pPr>
          </w:p>
        </w:tc>
        <w:tc>
          <w:tcPr>
            <w:tcW w:w="2033" w:type="dxa"/>
            <w:vAlign w:val="center"/>
          </w:tcPr>
          <w:p w14:paraId="2036C462">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农残/兽残超标</w:t>
            </w:r>
          </w:p>
        </w:tc>
        <w:tc>
          <w:tcPr>
            <w:tcW w:w="5165" w:type="dxa"/>
            <w:vAlign w:val="center"/>
          </w:tcPr>
          <w:p w14:paraId="7018950D">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一、中心食堂附属医院食堂使用</w:t>
            </w:r>
          </w:p>
          <w:p w14:paraId="7A1B0F6D">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1、全批次召回</w:t>
            </w:r>
          </w:p>
          <w:p w14:paraId="7B2BC49A">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2、同一品种一学期内出现第一次，扣除当批该品种总货款的50％作为处罚，出具供应商整改通知单要求整改并承担相关法律责任及我方损失；暂停供应至提供第三方检测证明</w:t>
            </w:r>
          </w:p>
          <w:p w14:paraId="59223976">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3、同一品种一学期内出现第二次，扣除当批该品种总货款的100％作为处罚，出具供应商整改通知单要求整改；约谈并承担相关的法律责任及我方损失，暂停供应，重新审核通过后方可提出复供。</w:t>
            </w:r>
          </w:p>
          <w:p w14:paraId="110344E7">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二、中大餐饮央厨大宗蔬菜类使用</w:t>
            </w:r>
          </w:p>
          <w:p w14:paraId="45770E03">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1、同一品种当月内出现第一次，扣除当批该品种总货款的20％作为处罚，出具供应商整改通知单要求整改；</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2、同一品种当月内出现第二次，扣除当批该品种总货款的50％作为处罚，出具供应商整改通知单要求整改。</w:t>
            </w:r>
            <w:r>
              <w:rPr>
                <w:rFonts w:hint="eastAsia" w:ascii="宋体" w:hAnsi="宋体" w:eastAsia="宋体" w:cs="宋体"/>
                <w:kern w:val="0"/>
                <w:sz w:val="21"/>
                <w:szCs w:val="21"/>
                <w14:ligatures w14:val="none"/>
              </w:rPr>
              <w:br w:type="textWrapping"/>
            </w:r>
            <w:r>
              <w:rPr>
                <w:rFonts w:hint="eastAsia" w:ascii="宋体" w:hAnsi="宋体" w:eastAsia="宋体" w:cs="宋体"/>
                <w:kern w:val="0"/>
                <w:sz w:val="21"/>
                <w:szCs w:val="21"/>
                <w14:ligatures w14:val="none"/>
              </w:rPr>
              <w:t>3、同一品种当月内出现第三次，扣除当批该品种总货款的100％作为处罚，出具供应商整改通知单要求整改，约谈并暂停供应，重新审核通过后方可提出复供。</w:t>
            </w:r>
          </w:p>
        </w:tc>
        <w:tc>
          <w:tcPr>
            <w:tcW w:w="1197" w:type="dxa"/>
            <w:vMerge w:val="restart"/>
            <w:vAlign w:val="center"/>
          </w:tcPr>
          <w:p w14:paraId="0361567F">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列入供应商年度考核依据</w:t>
            </w:r>
          </w:p>
          <w:p w14:paraId="483FEB9A">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（我方送检时供应商支付第三方检测费用）</w:t>
            </w:r>
          </w:p>
        </w:tc>
      </w:tr>
      <w:tr w14:paraId="579C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87" w:type="dxa"/>
            <w:vMerge w:val="continue"/>
            <w:vAlign w:val="center"/>
          </w:tcPr>
          <w:p w14:paraId="0B0C1898">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6A182DBF">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微生物超标</w:t>
            </w:r>
          </w:p>
          <w:p w14:paraId="3C9FF0DF">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（如菌落总数）</w:t>
            </w:r>
          </w:p>
        </w:tc>
        <w:tc>
          <w:tcPr>
            <w:tcW w:w="5165" w:type="dxa"/>
            <w:vAlign w:val="center"/>
          </w:tcPr>
          <w:p w14:paraId="5EE877D9">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1、全批次召回</w:t>
            </w:r>
          </w:p>
          <w:p w14:paraId="174A9BB2">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2、扣除当批该品种总货款的100％作为处罚，并要求整改，约谈并承担相关的法律责任及我方损失，暂停供应。</w:t>
            </w:r>
          </w:p>
        </w:tc>
        <w:tc>
          <w:tcPr>
            <w:tcW w:w="1197" w:type="dxa"/>
            <w:vMerge w:val="continue"/>
            <w:vAlign w:val="center"/>
          </w:tcPr>
          <w:p w14:paraId="2443C9AB">
            <w:pPr>
              <w:spacing w:after="0" w:line="240" w:lineRule="auto"/>
              <w:jc w:val="center"/>
              <w:rPr>
                <w:rFonts w:hint="eastAsia" w:ascii="宋体" w:hAnsi="宋体" w:eastAsia="宋体" w:cs="宋体"/>
                <w:kern w:val="0"/>
                <w:sz w:val="21"/>
                <w:szCs w:val="21"/>
                <w14:ligatures w14:val="none"/>
              </w:rPr>
            </w:pPr>
          </w:p>
        </w:tc>
      </w:tr>
      <w:tr w14:paraId="5836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87" w:type="dxa"/>
            <w:vMerge w:val="continue"/>
            <w:vAlign w:val="center"/>
          </w:tcPr>
          <w:p w14:paraId="24811170">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0686AF16">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使用违禁添加物</w:t>
            </w:r>
          </w:p>
        </w:tc>
        <w:tc>
          <w:tcPr>
            <w:tcW w:w="5165" w:type="dxa"/>
            <w:vAlign w:val="center"/>
          </w:tcPr>
          <w:p w14:paraId="77F797B6">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1、全批次召回</w:t>
            </w:r>
          </w:p>
          <w:p w14:paraId="70840E36">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2、扣除当批该品种总货款的100％作为处罚，并要求整改，约谈并承担相关的法律责任及我方损失，暂停供应。</w:t>
            </w:r>
          </w:p>
        </w:tc>
        <w:tc>
          <w:tcPr>
            <w:tcW w:w="1197" w:type="dxa"/>
            <w:vMerge w:val="continue"/>
            <w:vAlign w:val="center"/>
          </w:tcPr>
          <w:p w14:paraId="15221971">
            <w:pPr>
              <w:spacing w:after="0" w:line="240" w:lineRule="auto"/>
              <w:jc w:val="center"/>
              <w:rPr>
                <w:rFonts w:hint="eastAsia" w:ascii="宋体" w:hAnsi="宋体" w:eastAsia="宋体" w:cs="宋体"/>
                <w:kern w:val="0"/>
                <w:sz w:val="21"/>
                <w:szCs w:val="21"/>
                <w14:ligatures w14:val="none"/>
              </w:rPr>
            </w:pPr>
          </w:p>
        </w:tc>
      </w:tr>
      <w:tr w14:paraId="29D8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87" w:type="dxa"/>
            <w:vAlign w:val="center"/>
          </w:tcPr>
          <w:p w14:paraId="485EEE5E">
            <w:pPr>
              <w:spacing w:after="0" w:line="240" w:lineRule="auto"/>
              <w:jc w:val="both"/>
              <w:rPr>
                <w:rFonts w:hint="eastAsia" w:ascii="宋体" w:hAnsi="宋体" w:eastAsia="宋体" w:cs="宋体"/>
                <w:kern w:val="0"/>
                <w:sz w:val="21"/>
                <w:szCs w:val="21"/>
                <w14:ligatures w14:val="none"/>
              </w:rPr>
            </w:pPr>
          </w:p>
        </w:tc>
        <w:tc>
          <w:tcPr>
            <w:tcW w:w="2033" w:type="dxa"/>
            <w:vAlign w:val="center"/>
          </w:tcPr>
          <w:p w14:paraId="7CEB6370">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日常配合</w:t>
            </w:r>
          </w:p>
        </w:tc>
        <w:tc>
          <w:tcPr>
            <w:tcW w:w="5165" w:type="dxa"/>
            <w:vAlign w:val="center"/>
          </w:tcPr>
          <w:p w14:paraId="6D52B0FA">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在日常配合中，经常出现不到位、不及时的情况，可给予每次500-1000元处罚，以作警示。供应商配送人员须遵守我司相关现场管理规章制度及遵循配送注意事项，造成公司财产损失的须承担修复原状费用或照价赔偿。</w:t>
            </w:r>
          </w:p>
        </w:tc>
        <w:tc>
          <w:tcPr>
            <w:tcW w:w="1197" w:type="dxa"/>
            <w:vAlign w:val="center"/>
          </w:tcPr>
          <w:p w14:paraId="185C593D">
            <w:pPr>
              <w:spacing w:after="0" w:line="240" w:lineRule="auto"/>
              <w:jc w:val="center"/>
              <w:rPr>
                <w:rFonts w:hint="eastAsia" w:ascii="宋体" w:hAnsi="宋体" w:eastAsia="宋体" w:cs="宋体"/>
                <w:kern w:val="0"/>
                <w:sz w:val="21"/>
                <w:szCs w:val="21"/>
                <w14:ligatures w14:val="none"/>
              </w:rPr>
            </w:pPr>
          </w:p>
        </w:tc>
      </w:tr>
      <w:tr w14:paraId="4A8C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87" w:type="dxa"/>
            <w:vAlign w:val="center"/>
          </w:tcPr>
          <w:p w14:paraId="6751A292">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配合服务</w:t>
            </w:r>
          </w:p>
        </w:tc>
        <w:tc>
          <w:tcPr>
            <w:tcW w:w="2033" w:type="dxa"/>
            <w:vAlign w:val="center"/>
          </w:tcPr>
          <w:p w14:paraId="41D6B34D">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报价失误</w:t>
            </w:r>
          </w:p>
        </w:tc>
        <w:tc>
          <w:tcPr>
            <w:tcW w:w="5165" w:type="dxa"/>
            <w:vAlign w:val="center"/>
          </w:tcPr>
          <w:p w14:paraId="64A958E7">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每期报价中，擅自修改采购部发出的报价单的排序、格式与字体；各品类报价失误率在1%以内（报价品种不足100个的品类，不允许失误），进行警告并出具供应商整改通知单要求整改；</w:t>
            </w:r>
          </w:p>
          <w:p w14:paraId="4FC47E25">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每月报价的供应商，半年度累计两次或以上出错的，给予300-500元处罚；</w:t>
            </w:r>
          </w:p>
          <w:p w14:paraId="40281E51">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3个月/半年/一年报价的供应商，给予每次500元处罚；</w:t>
            </w:r>
          </w:p>
          <w:p w14:paraId="5E1FF133">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存在恶意报价行为的供应商，给予每次1000元处罚，情节严重的做停止新一期供货或者取消配送资格处理。</w:t>
            </w:r>
          </w:p>
        </w:tc>
        <w:tc>
          <w:tcPr>
            <w:tcW w:w="1197" w:type="dxa"/>
            <w:vAlign w:val="center"/>
          </w:tcPr>
          <w:p w14:paraId="0A752153">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列入供应商年度考核依据</w:t>
            </w:r>
          </w:p>
        </w:tc>
      </w:tr>
      <w:tr w14:paraId="6759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87" w:type="dxa"/>
            <w:vMerge w:val="restart"/>
            <w:vAlign w:val="center"/>
          </w:tcPr>
          <w:p w14:paraId="7CD811A4">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其他</w:t>
            </w:r>
          </w:p>
        </w:tc>
        <w:tc>
          <w:tcPr>
            <w:tcW w:w="2033" w:type="dxa"/>
            <w:vAlign w:val="center"/>
          </w:tcPr>
          <w:p w14:paraId="0829AFDA">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多次违规</w:t>
            </w:r>
          </w:p>
        </w:tc>
        <w:tc>
          <w:tcPr>
            <w:tcW w:w="5165" w:type="dxa"/>
            <w:vAlign w:val="center"/>
          </w:tcPr>
          <w:p w14:paraId="424BE7A1">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一学期累计三次处理后仍有违反的，除上述对应扣罚外，视情况扣罚履约保证金、无任何改善的暂停配送资格处理、情节严重无任何改善的公司可取消供应商供货资格。</w:t>
            </w:r>
          </w:p>
        </w:tc>
        <w:tc>
          <w:tcPr>
            <w:tcW w:w="1197" w:type="dxa"/>
            <w:vMerge w:val="restart"/>
            <w:vAlign w:val="center"/>
          </w:tcPr>
          <w:p w14:paraId="7501F67C">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取消供货资格</w:t>
            </w:r>
          </w:p>
        </w:tc>
      </w:tr>
      <w:tr w14:paraId="1E56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87" w:type="dxa"/>
            <w:vMerge w:val="continue"/>
            <w:vAlign w:val="center"/>
          </w:tcPr>
          <w:p w14:paraId="7D4958DC">
            <w:pPr>
              <w:spacing w:after="0" w:line="240" w:lineRule="auto"/>
              <w:jc w:val="center"/>
              <w:rPr>
                <w:rFonts w:hint="eastAsia" w:ascii="宋体" w:hAnsi="宋体" w:eastAsia="宋体" w:cs="宋体"/>
                <w:kern w:val="0"/>
                <w:sz w:val="21"/>
                <w:szCs w:val="21"/>
                <w14:ligatures w14:val="none"/>
              </w:rPr>
            </w:pPr>
          </w:p>
        </w:tc>
        <w:tc>
          <w:tcPr>
            <w:tcW w:w="2033" w:type="dxa"/>
            <w:vAlign w:val="center"/>
          </w:tcPr>
          <w:p w14:paraId="01E2F48D">
            <w:pPr>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重大事件</w:t>
            </w:r>
          </w:p>
        </w:tc>
        <w:tc>
          <w:tcPr>
            <w:tcW w:w="5165" w:type="dxa"/>
            <w:vAlign w:val="center"/>
          </w:tcPr>
          <w:p w14:paraId="7ACC65D0">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r>
              <w:rPr>
                <w:rFonts w:hint="eastAsia" w:ascii="宋体" w:hAnsi="宋体" w:eastAsia="宋体" w:cs="宋体"/>
                <w:kern w:val="0"/>
                <w:sz w:val="21"/>
                <w:szCs w:val="21"/>
                <w:lang w:bidi="ar"/>
                <w14:ligatures w14:val="none"/>
              </w:rPr>
              <w:t>生产或配送的食品或产品均不得违反食品安全法以及产品质量法的相关规定；</w:t>
            </w:r>
            <w:r>
              <w:rPr>
                <w:rFonts w:hint="eastAsia" w:ascii="宋体" w:hAnsi="宋体" w:eastAsia="宋体" w:cs="宋体"/>
                <w:kern w:val="0"/>
                <w:sz w:val="21"/>
                <w:szCs w:val="21"/>
                <w14:ligatures w14:val="none"/>
              </w:rPr>
              <w:t>供应商有弄虚作假行为或所供货物被相关部门鉴定为假冒伪劣产品的，取消供货资格。</w:t>
            </w:r>
          </w:p>
          <w:p w14:paraId="0E6ADD4C">
            <w:pPr>
              <w:spacing w:after="0" w:line="240" w:lineRule="auto"/>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2、发生重大食品安全事件或被外部通报较大事件，扣罚履约保证金、取消供货资格，我司保留追究相关法律责任的权利。</w:t>
            </w:r>
          </w:p>
        </w:tc>
        <w:tc>
          <w:tcPr>
            <w:tcW w:w="1197" w:type="dxa"/>
            <w:vMerge w:val="continue"/>
            <w:vAlign w:val="center"/>
          </w:tcPr>
          <w:p w14:paraId="34B8530C">
            <w:pPr>
              <w:spacing w:after="0" w:line="240" w:lineRule="auto"/>
              <w:jc w:val="center"/>
              <w:rPr>
                <w:rFonts w:hint="eastAsia" w:ascii="宋体" w:hAnsi="宋体" w:eastAsia="宋体" w:cs="宋体"/>
                <w:kern w:val="0"/>
                <w:sz w:val="21"/>
                <w:szCs w:val="21"/>
                <w14:ligatures w14:val="none"/>
              </w:rPr>
            </w:pPr>
          </w:p>
        </w:tc>
      </w:tr>
    </w:tbl>
    <w:p w14:paraId="0416432D">
      <w:pPr>
        <w:spacing w:before="156" w:beforeLines="50" w:after="0" w:line="276" w:lineRule="auto"/>
        <w:ind w:left="-1034" w:leftChars="-47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说明：</w:t>
      </w:r>
    </w:p>
    <w:p w14:paraId="651BC8BF">
      <w:pPr>
        <w:spacing w:before="156" w:beforeLines="50" w:after="0" w:line="240" w:lineRule="auto"/>
        <w:ind w:left="-1034" w:leftChars="-47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处罚金额按照以上条款比例，</w:t>
      </w:r>
    </w:p>
    <w:p w14:paraId="75F13873">
      <w:pPr>
        <w:spacing w:before="156" w:beforeLines="50" w:after="0" w:line="240" w:lineRule="auto"/>
        <w:ind w:left="-1034" w:leftChars="-47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如单次扣罚10%金额不足300元，则最低按300元/次处罚。</w:t>
      </w:r>
    </w:p>
    <w:p w14:paraId="420F97A7">
      <w:pPr>
        <w:spacing w:before="156" w:beforeLines="50" w:after="0" w:line="240" w:lineRule="auto"/>
        <w:ind w:left="-1034" w:leftChars="-47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如单次扣罚20%金额不足500元，则最低按500元/次处罚。</w:t>
      </w:r>
    </w:p>
    <w:p w14:paraId="6B39AF84">
      <w:pPr>
        <w:spacing w:before="156" w:beforeLines="50" w:after="0" w:line="240" w:lineRule="auto"/>
        <w:ind w:left="-1034" w:leftChars="-47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如单次扣罚50%金额不足2000元，则最低按2000元/次处罚。</w:t>
      </w:r>
    </w:p>
    <w:p w14:paraId="1F0F5098">
      <w:pPr>
        <w:spacing w:before="156" w:beforeLines="50" w:after="0" w:line="240" w:lineRule="auto"/>
        <w:ind w:left="-1034" w:leftChars="-47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如单次扣罚100%金额不足5000元，则最低按5000元/次处罚。</w:t>
      </w:r>
    </w:p>
    <w:p w14:paraId="29939197">
      <w:pPr>
        <w:spacing w:before="156" w:beforeLines="50" w:after="0" w:line="240" w:lineRule="auto"/>
        <w:ind w:left="-1034" w:leftChars="-47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含冰量除需要差额补回外，如有扣罚部分超过10000元的，按10000元处罚。</w:t>
      </w:r>
    </w:p>
    <w:p w14:paraId="1D451471">
      <w:pPr>
        <w:spacing w:before="156" w:beforeLines="50" w:after="0" w:line="240" w:lineRule="auto"/>
        <w:ind w:left="-1034" w:leftChars="-470" w:firstLine="480" w:firstLineChars="200"/>
        <w:jc w:val="both"/>
        <w:rPr>
          <w:rFonts w:hint="eastAsia" w:ascii="宋体" w:hAnsi="宋体" w:eastAsia="宋体" w:cs="宋体"/>
          <w:sz w:val="24"/>
          <w14:ligatures w14:val="none"/>
        </w:rPr>
      </w:pPr>
    </w:p>
    <w:p w14:paraId="7E2DEA92">
      <w:pPr>
        <w:spacing w:before="156" w:beforeLines="50" w:after="0" w:line="276" w:lineRule="auto"/>
        <w:ind w:firstLine="480" w:firstLineChars="200"/>
        <w:jc w:val="center"/>
        <w:rPr>
          <w:rFonts w:hint="eastAsia" w:ascii="宋体" w:hAnsi="宋体" w:eastAsia="宋体" w:cs="宋体"/>
          <w:sz w:val="24"/>
          <w14:ligatures w14:val="none"/>
        </w:rPr>
      </w:pPr>
      <w:r>
        <w:rPr>
          <w:rFonts w:hint="eastAsia" w:ascii="宋体" w:hAnsi="宋体" w:eastAsia="宋体" w:cs="宋体"/>
          <w:sz w:val="24"/>
          <w14:ligatures w14:val="none"/>
        </w:rPr>
        <mc:AlternateContent>
          <mc:Choice Requires="wps">
            <w:drawing>
              <wp:anchor distT="0" distB="0" distL="114300" distR="114300" simplePos="0" relativeHeight="251659264" behindDoc="0" locked="0" layoutInCell="1" allowOverlap="1">
                <wp:simplePos x="0" y="0"/>
                <wp:positionH relativeFrom="page">
                  <wp:posOffset>485775</wp:posOffset>
                </wp:positionH>
                <wp:positionV relativeFrom="paragraph">
                  <wp:posOffset>431800</wp:posOffset>
                </wp:positionV>
                <wp:extent cx="6448425" cy="9525"/>
                <wp:effectExtent l="0" t="0" r="28575" b="28575"/>
                <wp:wrapTopAndBottom/>
                <wp:docPr id="1" name="直接连接符 2"/>
                <wp:cNvGraphicFramePr/>
                <a:graphic xmlns:a="http://schemas.openxmlformats.org/drawingml/2006/main">
                  <a:graphicData uri="http://schemas.microsoft.com/office/word/2010/wordprocessingShape">
                    <wps:wsp>
                      <wps:cNvCnPr/>
                      <wps:spPr>
                        <a:xfrm flipV="1">
                          <a:off x="0" y="0"/>
                          <a:ext cx="6448425" cy="9525"/>
                        </a:xfrm>
                        <a:prstGeom prst="line">
                          <a:avLst/>
                        </a:prstGeom>
                        <a:noFill/>
                        <a:ln w="9525" cap="flat" cmpd="sng" algn="ctr">
                          <a:solidFill>
                            <a:srgbClr val="000000"/>
                          </a:solidFill>
                          <a:prstDash val="dash"/>
                        </a:ln>
                      </wps:spPr>
                      <wps:bodyPr/>
                    </wps:wsp>
                  </a:graphicData>
                </a:graphic>
              </wp:anchor>
            </w:drawing>
          </mc:Choice>
          <mc:Fallback>
            <w:pict>
              <v:line id="直接连接符 2" o:spid="_x0000_s1026" o:spt="20" style="position:absolute;left:0pt;flip:y;margin-left:38.25pt;margin-top:34pt;height:0.75pt;width:507.75pt;mso-position-horizontal-relative:page;mso-wrap-distance-bottom:0pt;mso-wrap-distance-top:0pt;z-index:251659264;mso-width-relative:page;mso-height-relative:page;" filled="f" stroked="t" coordsize="21600,21600" o:gfxdata="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AwMx/UAAAACQEAAA8AAAAA&#10;AAAAAQAgAAAAIgAAAGRycy9kb3ducmV2LnhtbFBLAQIUABQAAAAIAIdO4kAyK7Ln3wEAAKYDAAAO&#10;AAAAAAAAAAEAIAAAACMBAABkcnMvZTJvRG9jLnhtbFBLBQYAAAAABgAGAFkBAAB0BQAAAAA=&#10;">
                <v:fill on="f" focussize="0,0"/>
                <v:stroke color="#000000" joinstyle="round" dashstyle="dash"/>
                <v:imagedata o:title=""/>
                <o:lock v:ext="edit" aspectratio="f"/>
                <w10:wrap type="topAndBottom"/>
              </v:line>
            </w:pict>
          </mc:Fallback>
        </mc:AlternateContent>
      </w:r>
      <w:r>
        <w:rPr>
          <w:rFonts w:hint="eastAsia" w:ascii="宋体" w:hAnsi="宋体" w:eastAsia="宋体" w:cs="宋体"/>
          <w:sz w:val="24"/>
          <w14:ligatures w14:val="none"/>
        </w:rPr>
        <w:t>确认回执</w:t>
      </w:r>
    </w:p>
    <w:p w14:paraId="428CD3BB">
      <w:pPr>
        <w:spacing w:before="156" w:beforeLines="50" w:after="0" w:line="276"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以上《供应商供货异常处理方式》我司已审阅并确认执行。</w:t>
      </w:r>
    </w:p>
    <w:p w14:paraId="2FA38DF8">
      <w:pPr>
        <w:spacing w:before="156" w:beforeLines="50" w:after="0" w:line="276" w:lineRule="auto"/>
        <w:ind w:firstLine="480" w:firstLineChars="200"/>
        <w:jc w:val="both"/>
        <w:rPr>
          <w:rFonts w:hint="eastAsia" w:ascii="宋体" w:hAnsi="宋体" w:eastAsia="宋体" w:cs="宋体"/>
          <w:sz w:val="24"/>
          <w14:ligatures w14:val="none"/>
        </w:rPr>
      </w:pPr>
    </w:p>
    <w:p w14:paraId="308A1F30">
      <w:pPr>
        <w:spacing w:before="156" w:beforeLines="50" w:after="0" w:line="276" w:lineRule="auto"/>
        <w:ind w:firstLine="480" w:firstLineChars="200"/>
        <w:jc w:val="right"/>
        <w:rPr>
          <w:rFonts w:hint="eastAsia" w:ascii="宋体" w:hAnsi="宋体" w:eastAsia="宋体" w:cs="宋体"/>
          <w:sz w:val="24"/>
          <w14:ligatures w14:val="none"/>
        </w:rPr>
      </w:pPr>
      <w:r>
        <w:rPr>
          <w:rFonts w:hint="eastAsia" w:ascii="宋体" w:hAnsi="宋体" w:eastAsia="宋体" w:cs="宋体"/>
          <w:sz w:val="24"/>
          <w14:ligatures w14:val="none"/>
        </w:rPr>
        <w:t xml:space="preserve">公司签章：                </w:t>
      </w:r>
    </w:p>
    <w:p w14:paraId="3DDB41D7">
      <w:pPr>
        <w:spacing w:before="156" w:beforeLines="50" w:after="0" w:line="276" w:lineRule="auto"/>
        <w:ind w:firstLine="480" w:firstLineChars="200"/>
        <w:jc w:val="right"/>
        <w:rPr>
          <w:rFonts w:hint="eastAsia" w:ascii="宋体" w:hAnsi="宋体" w:eastAsia="宋体" w:cs="宋体"/>
          <w:sz w:val="21"/>
          <w14:ligatures w14:val="none"/>
        </w:rPr>
      </w:pPr>
      <w:r>
        <w:rPr>
          <w:rFonts w:hint="eastAsia" w:ascii="宋体" w:hAnsi="宋体" w:eastAsia="宋体" w:cs="宋体"/>
          <w:sz w:val="24"/>
          <w14:ligatures w14:val="none"/>
        </w:rPr>
        <w:t xml:space="preserve">日    期：                </w:t>
      </w:r>
    </w:p>
    <w:p w14:paraId="1F79A0EF">
      <w:pPr>
        <w:spacing w:before="156" w:beforeLines="50" w:after="0" w:line="276" w:lineRule="auto"/>
        <w:ind w:right="210" w:firstLine="420" w:firstLineChars="200"/>
        <w:jc w:val="right"/>
        <w:rPr>
          <w:rFonts w:hint="eastAsia" w:ascii="宋体" w:hAnsi="宋体" w:eastAsia="宋体" w:cs="宋体"/>
          <w:sz w:val="21"/>
          <w14:ligatures w14:val="none"/>
        </w:rPr>
        <w:sectPr>
          <w:footerReference r:id="rId5" w:type="default"/>
          <w:pgSz w:w="11906" w:h="16838"/>
          <w:pgMar w:top="1418" w:right="1152" w:bottom="1418" w:left="1152" w:header="851" w:footer="992" w:gutter="0"/>
          <w:cols w:space="720" w:num="1"/>
          <w:docGrid w:type="lines" w:linePitch="312" w:charSpace="0"/>
        </w:sectPr>
      </w:pPr>
    </w:p>
    <w:p w14:paraId="181FC3C6">
      <w:pPr>
        <w:tabs>
          <w:tab w:val="right" w:pos="9923"/>
        </w:tabs>
        <w:autoSpaceDE w:val="0"/>
        <w:autoSpaceDN w:val="0"/>
        <w:adjustRightInd w:val="0"/>
        <w:spacing w:after="0" w:line="24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附件3</w:t>
      </w:r>
    </w:p>
    <w:p w14:paraId="15A63955">
      <w:pPr>
        <w:tabs>
          <w:tab w:val="right" w:pos="9923"/>
        </w:tabs>
        <w:spacing w:after="0" w:line="240" w:lineRule="auto"/>
        <w:ind w:firstLine="643" w:firstLineChars="200"/>
        <w:jc w:val="center"/>
        <w:rPr>
          <w:rFonts w:hint="eastAsia" w:ascii="宋体" w:hAnsi="宋体" w:eastAsia="宋体" w:cs="宋体"/>
          <w:b/>
          <w:bCs/>
          <w:sz w:val="32"/>
          <w:szCs w:val="32"/>
          <w14:ligatures w14:val="none"/>
        </w:rPr>
      </w:pPr>
      <w:r>
        <w:rPr>
          <w:rFonts w:hint="eastAsia" w:ascii="宋体" w:hAnsi="宋体" w:eastAsia="宋体" w:cs="宋体"/>
          <w:b/>
          <w:bCs/>
          <w:sz w:val="32"/>
          <w:szCs w:val="32"/>
          <w14:ligatures w14:val="none"/>
        </w:rPr>
        <w:t>广州中大餐饮管理有限公司供应商行为准则</w:t>
      </w:r>
    </w:p>
    <w:p w14:paraId="24F22069">
      <w:pPr>
        <w:widowControl/>
        <w:spacing w:before="280" w:after="280" w:line="240" w:lineRule="auto"/>
        <w:ind w:firstLine="480" w:firstLineChars="200"/>
        <w:jc w:val="both"/>
        <w:rPr>
          <w:rFonts w:ascii="宋体" w:hAnsi="Calibri" w:eastAsia="宋体" w:cs="Times New Roman"/>
          <w:sz w:val="24"/>
          <w14:ligatures w14:val="none"/>
        </w:rPr>
      </w:pPr>
    </w:p>
    <w:p w14:paraId="77D22E43">
      <w:pPr>
        <w:autoSpaceDE w:val="0"/>
        <w:autoSpaceDN w:val="0"/>
        <w:adjustRightInd w:val="0"/>
        <w:snapToGrid w:val="0"/>
        <w:spacing w:before="156" w:beforeLines="50" w:after="156" w:afterLines="50" w:line="360" w:lineRule="auto"/>
        <w:ind w:firstLine="480" w:firstLineChars="200"/>
        <w:jc w:val="both"/>
        <w:rPr>
          <w:rFonts w:ascii="Calibri" w:hAnsi="Calibri" w:eastAsia="宋体" w:cs="Times New Roman"/>
          <w:sz w:val="24"/>
          <w14:ligatures w14:val="none"/>
        </w:rPr>
      </w:pPr>
      <w:bookmarkStart w:id="25" w:name="auto_fouce_2"/>
      <w:r>
        <w:rPr>
          <w:rFonts w:hint="eastAsia" w:ascii="宋体" w:hAnsi="宋体" w:eastAsia="宋体" w:cs="宋体"/>
          <w:sz w:val="24"/>
          <w14:ligatures w14:val="none"/>
        </w:rPr>
        <w:t>本行为准则旨在建立与供应商合作的基本原则，促进公平、透明和互利的业务关系，确保所有活动符合法律法规及行业实践。本行为准则适用于向广州中大餐饮管理有限公司</w:t>
      </w:r>
      <w:r>
        <w:rPr>
          <w:rFonts w:ascii="宋体" w:hAnsi="宋体" w:eastAsia="宋体" w:cs="宋体"/>
          <w:sz w:val="24"/>
          <w14:ligatures w14:val="none"/>
        </w:rPr>
        <w:t>（以下简称“中大餐饮”）</w:t>
      </w:r>
      <w:r>
        <w:rPr>
          <w:rFonts w:hint="eastAsia" w:ascii="宋体" w:hAnsi="宋体" w:eastAsia="宋体" w:cs="宋体"/>
          <w:sz w:val="24"/>
          <w14:ligatures w14:val="none"/>
        </w:rPr>
        <w:t>提供货物和服务的供应商，明确了供应商的基本职责。中大餐饮保留基于项目合规及经营需要单方变更本行为准则之要求的权利，变更自书面通知供应商之日起生效。如发生此类变更，请供应商予以配合</w:t>
      </w:r>
      <w:bookmarkEnd w:id="25"/>
      <w:bookmarkStart w:id="26" w:name="auto_fouce_1"/>
      <w:r>
        <w:rPr>
          <w:rFonts w:hint="eastAsia" w:ascii="宋体" w:hAnsi="宋体" w:eastAsia="宋体" w:cs="宋体"/>
          <w:sz w:val="24"/>
          <w14:ligatures w14:val="none"/>
        </w:rPr>
        <w:t>。中大餐饮对本准则的合理变更不视为违约，供应商不得据此主张任何赔偿或抗辩。</w:t>
      </w:r>
      <w:bookmarkEnd w:id="26"/>
    </w:p>
    <w:p w14:paraId="5545C38A">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一、合规经营</w:t>
      </w:r>
    </w:p>
    <w:p w14:paraId="706B6111">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w:t>
      </w:r>
      <w:bookmarkStart w:id="27" w:name="auto_fouce_3"/>
      <w:r>
        <w:rPr>
          <w:rFonts w:hint="eastAsia" w:ascii="宋体" w:hAnsi="宋体" w:eastAsia="宋体" w:cs="宋体"/>
          <w:sz w:val="24"/>
          <w14:ligatures w14:val="none"/>
        </w:rPr>
        <w:t>法律法规遵守：供应商必须严格遵守所有适用的国家法律法规及中大餐饮不时更新的内部政策标准，禁止任何形式的欺诈、贿赂或非法行为。</w:t>
      </w:r>
      <w:bookmarkEnd w:id="27"/>
    </w:p>
    <w:p w14:paraId="6277C482">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w:t>
      </w:r>
      <w:bookmarkStart w:id="28" w:name="auto_fouce_4"/>
      <w:r>
        <w:rPr>
          <w:rFonts w:hint="eastAsia" w:ascii="宋体" w:hAnsi="宋体" w:eastAsia="宋体" w:cs="宋体"/>
          <w:sz w:val="24"/>
          <w14:ligatures w14:val="none"/>
        </w:rPr>
        <w:t>反贿赂与反腐败：坚决杜绝行贿、受贿或利益输送行为，确保商业活动真实透明。供应商应建立并持续完善内部监督机制，确保有效预防、发现及纠正违规行为，并向中大餐饮定期提交合规报告。供应商因监督失职导致的违规行为，应承担相应的法律责任。</w:t>
      </w:r>
      <w:bookmarkEnd w:id="28"/>
    </w:p>
    <w:p w14:paraId="27BA8878">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3.数据保护与隐私：在处理客户或公司数据时，供应商需遵循数据安全标准，防止信息泄露。</w:t>
      </w:r>
    </w:p>
    <w:p w14:paraId="3A1223E2">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二、道德与诚信</w:t>
      </w:r>
    </w:p>
    <w:p w14:paraId="64F76918">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1.公平竞争：禁止通过不正当手段获取商业优势，如操纵市场或恶意诋毁竞争对手。所有交易应基于质量、服务和价格等合法因素。</w:t>
      </w:r>
    </w:p>
    <w:p w14:paraId="0287AF50">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w:t>
      </w:r>
      <w:bookmarkStart w:id="29" w:name="auto_fouce_5"/>
      <w:r>
        <w:rPr>
          <w:rFonts w:hint="eastAsia" w:ascii="宋体" w:hAnsi="宋体" w:eastAsia="宋体" w:cs="宋体"/>
          <w:sz w:val="24"/>
          <w14:ligatures w14:val="none"/>
        </w:rPr>
        <w:t>利益冲突管理：供应商应在合作前及合作期间，如发现可能影响业务公正性的利益关系，应在3个工作日内以书面形式向中大餐饮披露。供应商未按要求披露的，视为重大违约，中大餐饮有权终止合同并要求赔偿。该义务适用于所有个人或关联方的利益冲突。</w:t>
      </w:r>
      <w:bookmarkEnd w:id="29"/>
    </w:p>
    <w:p w14:paraId="2A5D51A0">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3.知识产权尊重：保护并尊重知识产权，包括专利、商标和版权，禁止未经授权的使用或复制。</w:t>
      </w:r>
    </w:p>
    <w:p w14:paraId="59113E7E">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三、品质与安全</w:t>
      </w:r>
    </w:p>
    <w:p w14:paraId="059750AD">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w:t>
      </w:r>
      <w:bookmarkStart w:id="30" w:name="auto_fouce_6"/>
      <w:r>
        <w:rPr>
          <w:rFonts w:hint="eastAsia" w:ascii="宋体" w:hAnsi="宋体" w:eastAsia="宋体" w:cs="宋体"/>
          <w:sz w:val="24"/>
          <w14:ligatures w14:val="none"/>
        </w:rPr>
        <w:t>产品质量保证：供应商须提供符合中大餐饮指定标准或行业最高标准的安全产品，建立经我方认可的质量管理体系，并接受我方不定期抽检，抽检不合格视为根本违约，确保从原料到成品的全程可控。若因产品质量引发事故或投诉，供应商应赔偿中大餐饮全部损失（含客户索赔及商誉损害）。</w:t>
      </w:r>
      <w:bookmarkEnd w:id="30"/>
    </w:p>
    <w:p w14:paraId="18FEBBB7">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w:t>
      </w:r>
      <w:bookmarkStart w:id="31" w:name="auto_fouce_7"/>
      <w:r>
        <w:rPr>
          <w:rFonts w:hint="eastAsia" w:ascii="宋体" w:hAnsi="宋体" w:eastAsia="宋体" w:cs="宋体"/>
          <w:sz w:val="24"/>
          <w14:ligatures w14:val="none"/>
        </w:rPr>
        <w:t>服务可靠性：在接到中大餐饮通知后24小时内响应并48小时内解决客户问题，提升客户满意度。</w:t>
      </w:r>
      <w:bookmarkEnd w:id="31"/>
    </w:p>
    <w:p w14:paraId="7F741E2A">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3.</w:t>
      </w:r>
      <w:bookmarkStart w:id="32" w:name="auto_fouce_8"/>
      <w:r>
        <w:rPr>
          <w:rFonts w:hint="eastAsia" w:ascii="宋体" w:hAnsi="宋体" w:eastAsia="宋体" w:cs="宋体"/>
          <w:sz w:val="24"/>
          <w14:ligatures w14:val="none"/>
        </w:rPr>
        <w:t>安全标准：遵守安全生产规范，预防事故，保护员工和消费者安全，每季度进行风险评估和培训，并向中大餐饮提交报告。</w:t>
      </w:r>
      <w:bookmarkEnd w:id="32"/>
    </w:p>
    <w:p w14:paraId="24B6246D">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四、沟通与透明度</w:t>
      </w:r>
    </w:p>
    <w:p w14:paraId="7AA0241D">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w:t>
      </w:r>
      <w:bookmarkStart w:id="33" w:name="auto_fouce_9"/>
      <w:r>
        <w:rPr>
          <w:rFonts w:hint="eastAsia" w:ascii="宋体" w:hAnsi="宋体" w:eastAsia="宋体" w:cs="宋体"/>
          <w:sz w:val="24"/>
          <w14:ligatures w14:val="none"/>
        </w:rPr>
        <w:t>信息共享：供应商应在收到我方需求后24小时内，以中大餐饮认可的书面方式准确、完整、可验证地传递业务信息（如订单状态、交货时间等），并按双方约定的时间节点持续更新。若供应商迟延、误导或隐瞒关键信息，导致中大餐饮损失的，供应商应承担全部责任。</w:t>
      </w:r>
      <w:bookmarkEnd w:id="33"/>
    </w:p>
    <w:p w14:paraId="6C96676A">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w:t>
      </w:r>
      <w:bookmarkStart w:id="34" w:name="auto_fouce_10"/>
      <w:r>
        <w:rPr>
          <w:rFonts w:hint="eastAsia" w:ascii="宋体" w:hAnsi="宋体" w:eastAsia="宋体" w:cs="宋体"/>
          <w:sz w:val="24"/>
          <w14:ligatures w14:val="none"/>
        </w:rPr>
        <w:t>反馈机制：设立开放渠道接收客户、中大餐饮及合作方反馈，主动改进服务，促进持续优化。</w:t>
      </w:r>
      <w:bookmarkEnd w:id="34"/>
    </w:p>
    <w:p w14:paraId="610A4983">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3.</w:t>
      </w:r>
      <w:bookmarkStart w:id="35" w:name="auto_fouce_11"/>
      <w:r>
        <w:rPr>
          <w:rFonts w:hint="eastAsia" w:ascii="宋体" w:hAnsi="宋体" w:eastAsia="宋体" w:cs="宋体"/>
          <w:sz w:val="24"/>
          <w14:ligatures w14:val="none"/>
        </w:rPr>
        <w:t>危机管理：在突发事件发生后2小时内响应，并每日向中大餐饮汇报进展，透明沟通影响和解决方案，减少负面影响。</w:t>
      </w:r>
      <w:bookmarkEnd w:id="35"/>
    </w:p>
    <w:p w14:paraId="62B3181B">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4.</w:t>
      </w:r>
      <w:bookmarkStart w:id="36" w:name="auto_fouce_12"/>
      <w:r>
        <w:rPr>
          <w:rFonts w:hint="eastAsia" w:ascii="宋体" w:hAnsi="宋体" w:eastAsia="宋体" w:cs="宋体"/>
          <w:sz w:val="24"/>
          <w14:ligatures w14:val="none"/>
        </w:rPr>
        <w:t>绩效评估：中大餐饮有权定期审查合作表现，设定改进目标，供应商无条件接受中大餐饮的绩效评估标准及结果，确保长期符合准则要求。</w:t>
      </w:r>
      <w:bookmarkEnd w:id="36"/>
    </w:p>
    <w:p w14:paraId="0BB0A4C5">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五、违规处理</w:t>
      </w:r>
    </w:p>
    <w:p w14:paraId="12ADCEB2">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w:t>
      </w:r>
      <w:bookmarkStart w:id="37" w:name="auto_fouce_13"/>
      <w:r>
        <w:rPr>
          <w:rFonts w:hint="eastAsia" w:ascii="宋体" w:hAnsi="宋体" w:eastAsia="宋体" w:cs="宋体"/>
          <w:sz w:val="24"/>
          <w14:ligatures w14:val="none"/>
        </w:rPr>
        <w:t>举报与调查：设立举报机制保护举报人，供应商举报时需提供书面证据材料，中大餐饮有权对无实质证据的举报不予调查。对违规行为由中大餐饮主导调查，供应商应无条件配合我方或第三方审计机构，调查结论以我方认定为准，并采取纠正措施。</w:t>
      </w:r>
      <w:bookmarkEnd w:id="37"/>
    </w:p>
    <w:p w14:paraId="30DF2DD3">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w:t>
      </w:r>
      <w:bookmarkStart w:id="38" w:name="auto_fouce_14"/>
      <w:r>
        <w:rPr>
          <w:rFonts w:hint="eastAsia" w:ascii="宋体" w:hAnsi="宋体" w:eastAsia="宋体" w:cs="宋体"/>
          <w:sz w:val="24"/>
          <w14:ligatures w14:val="none"/>
        </w:rPr>
        <w:t>纪律措施及违约责任：供应商违反本准则任何条款（包括但不限于第一至四条）均构成违约，中大餐饮有权根据违规严重程度，直接采取警告、暂停合作、罚款（金额由中大餐饮合理确定）、终止合同、追偿损失等处理措施，且不排除进一步追究法律责任。供应商须向中大餐饮承担全部损失（含直接损失、间接损失、可得利益损失及维权费用）；如因供应商违规导致中大餐饮遭受行政处罚，供应商应全额承担罚款及相关法律费用。若供应商未在收到书面通知后3个工作日内改正，中大餐饮有权立即终止合作并继续追责。</w:t>
      </w:r>
      <w:bookmarkEnd w:id="38"/>
    </w:p>
    <w:p w14:paraId="7CEDC31A">
      <w:pPr>
        <w:autoSpaceDE w:val="0"/>
        <w:autoSpaceDN w:val="0"/>
        <w:adjustRightInd w:val="0"/>
        <w:snapToGrid w:val="0"/>
        <w:spacing w:before="156" w:beforeLines="50" w:after="156" w:afterLines="50" w:line="360" w:lineRule="auto"/>
        <w:ind w:firstLine="480" w:firstLineChars="200"/>
        <w:jc w:val="both"/>
        <w:rPr>
          <w:rFonts w:hint="eastAsia" w:ascii="宋体" w:hAnsi="宋体" w:eastAsia="宋体" w:cs="宋体"/>
          <w:sz w:val="24"/>
          <w14:ligatures w14:val="none"/>
        </w:rPr>
      </w:pPr>
    </w:p>
    <w:p w14:paraId="4862B947">
      <w:pPr>
        <w:tabs>
          <w:tab w:val="left" w:leader="underscore" w:pos="3402"/>
          <w:tab w:val="left" w:pos="5103"/>
          <w:tab w:val="left" w:leader="underscore" w:pos="8505"/>
        </w:tabs>
        <w:autoSpaceDE w:val="0"/>
        <w:autoSpaceDN w:val="0"/>
        <w:adjustRightInd w:val="0"/>
        <w:spacing w:before="156" w:beforeLines="50" w:after="156" w:afterLines="50" w:line="360" w:lineRule="auto"/>
        <w:ind w:firstLine="480" w:firstLineChars="200"/>
        <w:jc w:val="center"/>
        <w:rPr>
          <w:rFonts w:hint="eastAsia" w:ascii="宋体" w:hAnsi="宋体" w:eastAsia="宋体" w:cs="宋体"/>
          <w:sz w:val="24"/>
          <w14:ligatures w14:val="none"/>
        </w:rPr>
      </w:pPr>
      <w:r>
        <w:rPr>
          <w:rFonts w:hint="eastAsia" w:ascii="宋体" w:hAnsi="宋体" w:eastAsia="宋体" w:cs="宋体"/>
          <w:sz w:val="24"/>
          <w14:ligatures w14:val="none"/>
        </w:rPr>
        <w:t xml:space="preserve">          </w:t>
      </w:r>
    </w:p>
    <w:p w14:paraId="0E6AA3F3">
      <w:pPr>
        <w:tabs>
          <w:tab w:val="left" w:leader="underscore" w:pos="3402"/>
          <w:tab w:val="left" w:pos="5103"/>
          <w:tab w:val="left" w:leader="underscore" w:pos="8505"/>
        </w:tabs>
        <w:autoSpaceDE w:val="0"/>
        <w:autoSpaceDN w:val="0"/>
        <w:adjustRightInd w:val="0"/>
        <w:spacing w:before="156" w:beforeLines="50" w:after="156" w:afterLines="50" w:line="360" w:lineRule="auto"/>
        <w:ind w:firstLine="480" w:firstLineChars="200"/>
        <w:jc w:val="center"/>
        <w:rPr>
          <w:rFonts w:hint="eastAsia" w:ascii="宋体" w:hAnsi="宋体" w:eastAsia="宋体" w:cs="宋体"/>
          <w:sz w:val="24"/>
          <w14:ligatures w14:val="none"/>
        </w:rPr>
      </w:pPr>
      <w:r>
        <w:rPr>
          <w:rFonts w:hint="eastAsia" w:ascii="宋体" w:hAnsi="宋体" w:eastAsia="宋体" w:cs="宋体"/>
          <w:sz w:val="24"/>
          <w14:ligatures w14:val="none"/>
        </w:rPr>
        <w:t xml:space="preserve">  法定代表人或授权代表签字：</w:t>
      </w:r>
    </w:p>
    <w:p w14:paraId="2C205BDF">
      <w:pPr>
        <w:tabs>
          <w:tab w:val="left" w:pos="3402"/>
          <w:tab w:val="left" w:pos="5103"/>
          <w:tab w:val="left" w:leader="underscore" w:pos="8505"/>
        </w:tabs>
        <w:autoSpaceDE w:val="0"/>
        <w:autoSpaceDN w:val="0"/>
        <w:adjustRightInd w:val="0"/>
        <w:spacing w:before="156" w:beforeLines="50" w:after="156" w:afterLines="50" w:line="360" w:lineRule="auto"/>
        <w:ind w:firstLine="480" w:firstLineChars="200"/>
        <w:jc w:val="center"/>
        <w:rPr>
          <w:rFonts w:hint="eastAsia" w:ascii="宋体" w:hAnsi="宋体" w:eastAsia="宋体" w:cs="宋体"/>
          <w:sz w:val="24"/>
          <w14:ligatures w14:val="none"/>
        </w:rPr>
      </w:pPr>
    </w:p>
    <w:p w14:paraId="7071557F">
      <w:pPr>
        <w:tabs>
          <w:tab w:val="left" w:pos="3402"/>
          <w:tab w:val="left" w:pos="5103"/>
          <w:tab w:val="left" w:leader="underscore" w:pos="8505"/>
        </w:tabs>
        <w:autoSpaceDE w:val="0"/>
        <w:autoSpaceDN w:val="0"/>
        <w:adjustRightIn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公司名称/印章：</w:t>
      </w:r>
    </w:p>
    <w:p w14:paraId="46E9E106">
      <w:pPr>
        <w:tabs>
          <w:tab w:val="left" w:pos="3402"/>
          <w:tab w:val="left" w:pos="5103"/>
          <w:tab w:val="left" w:leader="underscore" w:pos="8505"/>
        </w:tabs>
        <w:autoSpaceDE w:val="0"/>
        <w:autoSpaceDN w:val="0"/>
        <w:adjustRightInd w:val="0"/>
        <w:spacing w:before="156" w:beforeLines="50" w:after="156" w:afterLines="50" w:line="360" w:lineRule="auto"/>
        <w:ind w:firstLine="480" w:firstLineChars="200"/>
        <w:jc w:val="both"/>
        <w:rPr>
          <w:rFonts w:hint="eastAsia" w:ascii="宋体" w:hAnsi="宋体" w:eastAsia="宋体" w:cs="宋体"/>
          <w:sz w:val="24"/>
          <w14:ligatures w14:val="none"/>
        </w:rPr>
      </w:pPr>
    </w:p>
    <w:p w14:paraId="156A6EA3">
      <w:pPr>
        <w:tabs>
          <w:tab w:val="left" w:pos="3402"/>
          <w:tab w:val="left" w:pos="5103"/>
          <w:tab w:val="left" w:leader="underscore" w:pos="8505"/>
        </w:tabs>
        <w:autoSpaceDE w:val="0"/>
        <w:autoSpaceDN w:val="0"/>
        <w:adjustRightInd w:val="0"/>
        <w:spacing w:before="156" w:beforeLines="50" w:after="156" w:afterLines="5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日期：</w:t>
      </w:r>
    </w:p>
    <w:p w14:paraId="2F231352">
      <w:pPr>
        <w:autoSpaceDE w:val="0"/>
        <w:autoSpaceDN w:val="0"/>
        <w:adjustRightInd w:val="0"/>
        <w:spacing w:before="156" w:beforeLines="50" w:after="156" w:afterLines="50" w:line="360" w:lineRule="auto"/>
        <w:ind w:firstLine="480" w:firstLineChars="200"/>
        <w:jc w:val="both"/>
        <w:rPr>
          <w:rFonts w:hint="eastAsia" w:ascii="宋体" w:hAnsi="宋体" w:eastAsia="宋体" w:cs="宋体"/>
          <w:sz w:val="24"/>
          <w14:ligatures w14:val="none"/>
        </w:rPr>
      </w:pPr>
    </w:p>
    <w:p w14:paraId="6FA8FBCA">
      <w:pPr>
        <w:autoSpaceDE w:val="0"/>
        <w:autoSpaceDN w:val="0"/>
        <w:adjustRightInd w:val="0"/>
        <w:spacing w:before="156" w:beforeLines="50" w:after="156" w:afterLines="50" w:line="360" w:lineRule="auto"/>
        <w:ind w:firstLine="480" w:firstLineChars="200"/>
        <w:jc w:val="both"/>
        <w:rPr>
          <w:rFonts w:ascii="宋体" w:hAnsi="Calibri" w:eastAsia="宋体" w:cs="Times New Roman"/>
          <w:sz w:val="24"/>
          <w14:ligatures w14:val="none"/>
        </w:rPr>
      </w:pPr>
    </w:p>
    <w:p w14:paraId="40D06DC4">
      <w:pPr>
        <w:autoSpaceDE w:val="0"/>
        <w:autoSpaceDN w:val="0"/>
        <w:adjustRightInd w:val="0"/>
        <w:spacing w:before="156" w:beforeLines="50" w:after="156" w:afterLines="50" w:line="360" w:lineRule="auto"/>
        <w:ind w:firstLine="480" w:firstLineChars="200"/>
        <w:jc w:val="both"/>
        <w:rPr>
          <w:rFonts w:ascii="宋体" w:hAnsi="Calibri" w:eastAsia="宋体" w:cs="Times New Roman"/>
          <w:sz w:val="24"/>
          <w14:ligatures w14:val="none"/>
        </w:rPr>
      </w:pPr>
      <w:bookmarkStart w:id="39" w:name="auto_fouce_21"/>
      <w:r>
        <w:rPr>
          <w:rFonts w:hint="eastAsia" w:ascii="宋体" w:hAnsi="宋体" w:eastAsia="宋体" w:cs="宋体"/>
          <w:sz w:val="24"/>
          <w14:ligatures w14:val="none"/>
        </w:rPr>
        <w:t>本文件必须在收到之后的20个工作日内由公司法定代</w:t>
      </w:r>
      <w:bookmarkStart w:id="40" w:name="auto_fouce_19"/>
      <w:r>
        <w:rPr>
          <w:rFonts w:hint="eastAsia" w:ascii="宋体" w:hAnsi="宋体" w:eastAsia="宋体" w:cs="宋体"/>
          <w:sz w:val="24"/>
          <w14:ligatures w14:val="none"/>
        </w:rPr>
        <w:t>表人或授权代表签署及公司盖章后发回广州中大餐饮管理有限</w:t>
      </w:r>
      <w:bookmarkEnd w:id="40"/>
      <w:r>
        <w:rPr>
          <w:rFonts w:hint="eastAsia" w:ascii="宋体" w:hAnsi="宋体" w:eastAsia="宋体" w:cs="宋体"/>
          <w:sz w:val="24"/>
          <w14:ligatures w14:val="none"/>
        </w:rPr>
        <w:t>公司采购部。</w:t>
      </w:r>
      <w:bookmarkEnd w:id="39"/>
    </w:p>
    <w:p w14:paraId="170FDBEF">
      <w:pPr>
        <w:tabs>
          <w:tab w:val="right" w:pos="9923"/>
        </w:tabs>
        <w:autoSpaceDE w:val="0"/>
        <w:autoSpaceDN w:val="0"/>
        <w:adjustRightInd w:val="0"/>
        <w:spacing w:after="0" w:line="240" w:lineRule="auto"/>
        <w:ind w:firstLine="562" w:firstLineChars="200"/>
        <w:jc w:val="both"/>
        <w:rPr>
          <w:rFonts w:hint="eastAsia" w:ascii="宋体" w:hAnsi="宋体" w:eastAsia="宋体" w:cs="宋体"/>
          <w:b/>
          <w:bCs/>
          <w:sz w:val="28"/>
          <w:szCs w:val="28"/>
          <w:lang w:eastAsia="de-DE"/>
          <w14:ligatures w14:val="none"/>
        </w:rPr>
      </w:pPr>
      <w:r>
        <w:rPr>
          <w:rFonts w:hint="eastAsia" w:ascii="宋体" w:hAnsi="宋体" w:eastAsia="宋体" w:cs="宋体"/>
          <w:b/>
          <w:bCs/>
          <w:sz w:val="28"/>
          <w:szCs w:val="28"/>
          <w:lang w:eastAsia="de-DE"/>
          <w14:ligatures w14:val="none"/>
        </w:rPr>
        <w:tab/>
      </w:r>
    </w:p>
    <w:p w14:paraId="56753099">
      <w:pPr>
        <w:autoSpaceDE w:val="0"/>
        <w:autoSpaceDN w:val="0"/>
        <w:adjustRightInd w:val="0"/>
        <w:spacing w:after="0" w:line="240" w:lineRule="auto"/>
        <w:ind w:firstLine="400" w:firstLineChars="200"/>
        <w:jc w:val="both"/>
        <w:rPr>
          <w:rFonts w:hint="eastAsia" w:ascii="宋体" w:hAnsi="宋体" w:eastAsia="宋体" w:cs="宋体"/>
          <w:sz w:val="20"/>
          <w:szCs w:val="20"/>
          <w14:ligatures w14:val="none"/>
        </w:rPr>
      </w:pPr>
    </w:p>
    <w:p w14:paraId="68D63013">
      <w:pPr>
        <w:spacing w:before="156" w:beforeLines="50" w:after="0" w:line="276" w:lineRule="auto"/>
        <w:ind w:right="210" w:firstLine="420" w:firstLineChars="200"/>
        <w:rPr>
          <w:rFonts w:hint="eastAsia" w:ascii="宋体" w:hAnsi="宋体" w:eastAsia="宋体" w:cs="宋体"/>
          <w:sz w:val="21"/>
          <w14:ligatures w14:val="none"/>
        </w:rPr>
        <w:sectPr>
          <w:pgSz w:w="11906" w:h="16838"/>
          <w:pgMar w:top="1418" w:right="1152" w:bottom="1418" w:left="1152" w:header="851" w:footer="992" w:gutter="0"/>
          <w:cols w:space="720" w:num="1"/>
          <w:docGrid w:type="lines" w:linePitch="312" w:charSpace="0"/>
        </w:sectPr>
      </w:pPr>
    </w:p>
    <w:p w14:paraId="7BFF4894">
      <w:pPr>
        <w:tabs>
          <w:tab w:val="right" w:pos="9923"/>
        </w:tabs>
        <w:autoSpaceDE w:val="0"/>
        <w:autoSpaceDN w:val="0"/>
        <w:adjustRightInd w:val="0"/>
        <w:spacing w:after="0" w:line="240" w:lineRule="auto"/>
        <w:ind w:firstLine="480" w:firstLineChars="200"/>
        <w:jc w:val="both"/>
        <w:rPr>
          <w:rFonts w:hint="eastAsia" w:ascii="宋体" w:hAnsi="宋体" w:eastAsia="宋体" w:cs="宋体"/>
          <w:b/>
          <w:sz w:val="28"/>
          <w:szCs w:val="28"/>
          <w14:ligatures w14:val="none"/>
        </w:rPr>
      </w:pPr>
      <w:r>
        <w:rPr>
          <w:rFonts w:hint="eastAsia" w:ascii="宋体" w:hAnsi="宋体" w:eastAsia="宋体" w:cs="宋体"/>
          <w:sz w:val="24"/>
          <w14:ligatures w14:val="none"/>
        </w:rPr>
        <w:t>附件4</w:t>
      </w:r>
    </w:p>
    <w:p w14:paraId="0B904364">
      <w:pPr>
        <w:spacing w:after="0" w:line="240" w:lineRule="auto"/>
        <w:ind w:right="-207" w:rightChars="-94" w:firstLine="883" w:firstLineChars="200"/>
        <w:jc w:val="center"/>
        <w:rPr>
          <w:rFonts w:hint="eastAsia" w:ascii="宋体" w:hAnsi="宋体" w:eastAsia="宋体" w:cs="宋体"/>
          <w:b/>
          <w:sz w:val="44"/>
          <w:szCs w:val="44"/>
          <w14:ligatures w14:val="none"/>
        </w:rPr>
      </w:pPr>
      <w:r>
        <w:rPr>
          <w:rFonts w:hint="eastAsia" w:ascii="宋体" w:hAnsi="宋体" w:eastAsia="宋体" w:cs="宋体"/>
          <w:b/>
          <w:sz w:val="44"/>
          <w:szCs w:val="44"/>
          <w14:ligatures w14:val="none"/>
        </w:rPr>
        <w:t>廉洁承诺书</w:t>
      </w:r>
    </w:p>
    <w:p w14:paraId="3875FCEA">
      <w:pPr>
        <w:spacing w:after="0" w:line="240" w:lineRule="auto"/>
        <w:ind w:left="-444" w:leftChars="-202" w:right="-207" w:rightChars="-94" w:firstLine="560" w:firstLineChars="200"/>
        <w:rPr>
          <w:rFonts w:hint="eastAsia" w:ascii="宋体" w:hAnsi="宋体" w:eastAsia="宋体" w:cs="宋体"/>
          <w:sz w:val="28"/>
          <w:szCs w:val="28"/>
          <w14:ligatures w14:val="none"/>
        </w:rPr>
      </w:pPr>
    </w:p>
    <w:p w14:paraId="21746F95">
      <w:pPr>
        <w:spacing w:after="0" w:line="240" w:lineRule="auto"/>
        <w:ind w:right="-207" w:rightChars="-94" w:firstLine="560" w:firstLineChars="200"/>
        <w:rPr>
          <w:rFonts w:hint="eastAsia" w:ascii="宋体" w:hAnsi="宋体" w:eastAsia="宋体" w:cs="宋体"/>
          <w:sz w:val="28"/>
          <w:szCs w:val="28"/>
          <w14:ligatures w14:val="none"/>
        </w:rPr>
      </w:pPr>
      <w:r>
        <w:rPr>
          <w:rFonts w:hint="eastAsia" w:ascii="宋体" w:hAnsi="宋体" w:eastAsia="宋体" w:cs="宋体"/>
          <w:bCs/>
          <w:sz w:val="28"/>
          <w:szCs w:val="28"/>
          <w14:ligatures w14:val="none"/>
        </w:rPr>
        <w:t>广州中大餐饮管理有限公司：</w:t>
      </w:r>
    </w:p>
    <w:p w14:paraId="0AE9610D">
      <w:pPr>
        <w:spacing w:after="0" w:line="240" w:lineRule="auto"/>
        <w:ind w:right="-207" w:rightChars="-94"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为确保采购活动的公开、公正、公平，防止采购中发生行受贿、侵占、合同诈骗等违纪违法行为，降低采购成本，保护采购人员(防止其违法犯罪)，我方特向你方做出承诺如下 :</w:t>
      </w:r>
    </w:p>
    <w:p w14:paraId="363CF2DC">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1、在任何采购环节，不以任何理由向你方人员行贿，包括但不限于送钱、物、购物卡、有价证券、免费提供劳务、支付应由你方个人支付的各种费用和其他各种变相行贿行为；</w:t>
      </w:r>
    </w:p>
    <w:p w14:paraId="5B3DB22B">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2、不与你方人员及其亲属从事本采购项目相关的任何物资买卖、提供劳务及中介活动等任何交易交往行为，未经你方允许不转包、分包项目；</w:t>
      </w:r>
    </w:p>
    <w:p w14:paraId="68E90A10">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3、不伙同他人串标、围标、虚假投标、恶意低价或者非法排挤其他竞标人参与公平竞争损害你方合法利益；</w:t>
      </w:r>
    </w:p>
    <w:p w14:paraId="4F33FDF9">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4、诚信正当交易，不掺杂掺假、以假充真、以次充好、以不合格冒充合格；</w:t>
      </w:r>
    </w:p>
    <w:p w14:paraId="18A32475">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 xml:space="preserve">5、你方人员如提出吃、拿、卡、要等违背本承诺书的要求或有其他不正当行为，我方保证及时主动向你方及你方主管单位的纪检部门举报，联系电话：020-84115282；  </w:t>
      </w:r>
    </w:p>
    <w:p w14:paraId="45BA5EAA">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6、我方已经知晓并支持你方关于廉洁从业方面的相关规定，将无条件配合你方关于规范采购行为的调查、检查、调研等工作，及时完整提供相关资料和客观信息。</w:t>
      </w:r>
    </w:p>
    <w:p w14:paraId="19CE8883">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我方将严格遵守本承诺，如有违反，你方可单方面取消本次合作项目(如已中选，则中选无效，已签订合同的，中止或终止执行)，我方自愿向你方支付不低于行贿金额10倍以上的违约金，并承担因取消或者中断合同给你方造成的经济损失。同时三年内不参加你方组织的所有采购招标活动。</w:t>
      </w:r>
    </w:p>
    <w:p w14:paraId="2357BA85">
      <w:pPr>
        <w:spacing w:after="0" w:line="240" w:lineRule="auto"/>
        <w:ind w:firstLine="560" w:firstLineChars="200"/>
        <w:jc w:val="both"/>
        <w:rPr>
          <w:rFonts w:hint="eastAsia" w:ascii="宋体" w:hAnsi="宋体" w:eastAsia="宋体" w:cs="宋体"/>
          <w:sz w:val="28"/>
          <w:szCs w:val="28"/>
          <w14:ligatures w14:val="none"/>
        </w:rPr>
      </w:pPr>
    </w:p>
    <w:p w14:paraId="779B4B3E">
      <w:pPr>
        <w:spacing w:after="0" w:line="240" w:lineRule="auto"/>
        <w:ind w:firstLine="560" w:firstLineChars="200"/>
        <w:jc w:val="both"/>
        <w:rPr>
          <w:rFonts w:hint="eastAsia" w:ascii="宋体" w:hAnsi="宋体" w:eastAsia="宋体" w:cs="宋体"/>
          <w:sz w:val="28"/>
          <w:szCs w:val="28"/>
          <w14:ligatures w14:val="none"/>
        </w:rPr>
      </w:pPr>
    </w:p>
    <w:p w14:paraId="1BA27BF1">
      <w:pPr>
        <w:spacing w:after="0" w:line="240" w:lineRule="auto"/>
        <w:ind w:firstLine="560" w:firstLineChars="200"/>
        <w:jc w:val="both"/>
        <w:rPr>
          <w:rFonts w:hint="eastAsia" w:ascii="宋体" w:hAnsi="宋体" w:eastAsia="宋体" w:cs="宋体"/>
          <w:sz w:val="28"/>
          <w:szCs w:val="28"/>
          <w14:ligatures w14:val="none"/>
        </w:rPr>
      </w:pPr>
    </w:p>
    <w:p w14:paraId="43798E1D">
      <w:pPr>
        <w:spacing w:after="0" w:line="240" w:lineRule="auto"/>
        <w:ind w:firstLine="560" w:firstLineChars="200"/>
        <w:jc w:val="center"/>
        <w:rPr>
          <w:rFonts w:hint="eastAsia" w:ascii="宋体" w:hAnsi="宋体" w:eastAsia="宋体" w:cs="宋体"/>
          <w:sz w:val="21"/>
          <w14:ligatures w14:val="none"/>
        </w:rPr>
      </w:pPr>
      <w:r>
        <w:rPr>
          <w:rFonts w:hint="eastAsia" w:ascii="宋体" w:hAnsi="宋体" w:eastAsia="宋体" w:cs="宋体"/>
          <w:sz w:val="28"/>
          <w:szCs w:val="28"/>
          <w14:ligatures w14:val="none"/>
        </w:rPr>
        <w:t>承 诺 方（盖章） :</w:t>
      </w:r>
    </w:p>
    <w:p w14:paraId="294DC5E7">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 xml:space="preserve">承诺方代表签名：  </w:t>
      </w:r>
    </w:p>
    <w:p w14:paraId="27AE00D1">
      <w:pPr>
        <w:spacing w:after="0" w:line="240" w:lineRule="auto"/>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承诺日期:      年    月   日</w:t>
      </w:r>
    </w:p>
    <w:p w14:paraId="596219DB">
      <w:pPr>
        <w:spacing w:after="0" w:line="240" w:lineRule="auto"/>
        <w:ind w:firstLine="420" w:firstLineChars="200"/>
        <w:jc w:val="both"/>
        <w:rPr>
          <w:rFonts w:hint="eastAsia" w:ascii="宋体" w:hAnsi="宋体" w:eastAsia="宋体" w:cs="宋体"/>
          <w:sz w:val="21"/>
          <w14:ligatures w14:val="none"/>
        </w:rPr>
      </w:pPr>
      <w:r>
        <w:rPr>
          <w:rFonts w:hint="eastAsia" w:ascii="宋体" w:hAnsi="宋体" w:eastAsia="宋体" w:cs="宋体"/>
          <w:sz w:val="21"/>
          <w14:ligatures w14:val="none"/>
        </w:rPr>
        <w:br w:type="page"/>
      </w:r>
    </w:p>
    <w:p w14:paraId="2386CEC9">
      <w:pPr>
        <w:tabs>
          <w:tab w:val="right" w:pos="9923"/>
        </w:tabs>
        <w:autoSpaceDE w:val="0"/>
        <w:autoSpaceDN w:val="0"/>
        <w:adjustRightInd w:val="0"/>
        <w:spacing w:after="0" w:line="240" w:lineRule="auto"/>
        <w:ind w:firstLine="480" w:firstLineChars="200"/>
        <w:jc w:val="both"/>
        <w:rPr>
          <w:rFonts w:hint="eastAsia" w:ascii="宋体" w:hAnsi="宋体" w:eastAsia="宋体" w:cs="宋体"/>
          <w:b/>
          <w:sz w:val="28"/>
          <w:szCs w:val="28"/>
          <w14:ligatures w14:val="none"/>
        </w:rPr>
      </w:pPr>
      <w:r>
        <w:rPr>
          <w:rFonts w:hint="eastAsia" w:ascii="宋体" w:hAnsi="宋体" w:eastAsia="宋体" w:cs="宋体"/>
          <w:sz w:val="24"/>
          <w14:ligatures w14:val="none"/>
        </w:rPr>
        <w:t>附件5</w:t>
      </w:r>
    </w:p>
    <w:p w14:paraId="05B7C1E6">
      <w:pPr>
        <w:spacing w:after="0" w:line="360" w:lineRule="auto"/>
        <w:ind w:firstLine="640" w:firstLineChars="200"/>
        <w:jc w:val="center"/>
        <w:rPr>
          <w:rFonts w:hint="eastAsia" w:ascii="宋体" w:hAnsi="宋体" w:eastAsia="宋体" w:cs="宋体"/>
          <w:sz w:val="32"/>
          <w:szCs w:val="32"/>
          <w14:ligatures w14:val="none"/>
        </w:rPr>
      </w:pPr>
      <w:r>
        <w:rPr>
          <w:rFonts w:hint="eastAsia" w:ascii="宋体" w:hAnsi="宋体" w:eastAsia="宋体" w:cs="宋体"/>
          <w:sz w:val="32"/>
          <w:szCs w:val="32"/>
          <w14:ligatures w14:val="none"/>
        </w:rPr>
        <w:t>供应商保密确认函</w:t>
      </w:r>
    </w:p>
    <w:p w14:paraId="759655F7">
      <w:pPr>
        <w:spacing w:after="0" w:line="360" w:lineRule="auto"/>
        <w:ind w:firstLine="480" w:firstLineChars="200"/>
        <w:jc w:val="both"/>
        <w:rPr>
          <w:rFonts w:hint="eastAsia" w:ascii="宋体" w:hAnsi="宋体" w:eastAsia="宋体" w:cs="宋体"/>
          <w:sz w:val="24"/>
          <w14:ligatures w14:val="none"/>
        </w:rPr>
      </w:pPr>
    </w:p>
    <w:p w14:paraId="236CD487">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致：广州中大餐饮管理有限公司（以下简称“贵司”）</w:t>
      </w:r>
    </w:p>
    <w:p w14:paraId="2121F2D2">
      <w:pPr>
        <w:spacing w:after="0" w:line="360" w:lineRule="auto"/>
        <w:ind w:firstLine="480" w:firstLineChars="200"/>
        <w:jc w:val="both"/>
        <w:rPr>
          <w:rFonts w:hint="eastAsia" w:ascii="宋体" w:hAnsi="宋体" w:eastAsia="宋体" w:cs="宋体"/>
          <w:sz w:val="24"/>
          <w14:ligatures w14:val="none"/>
        </w:rPr>
      </w:pPr>
    </w:p>
    <w:p w14:paraId="2E6D2979">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本公司，即下方签署方，作为贵司的供应商，为开启和管理与贵司之间的采购和供应关系（包括履行贵司签发的任何订单以及与之有关的一切讨论、询问、技术可行性测试和评估）之目的（以下简称“指定目的”），已从或将会从贵司知悉、获取或接触相关的保密信息。</w:t>
      </w:r>
    </w:p>
    <w:p w14:paraId="2CDCCFDD">
      <w:pPr>
        <w:spacing w:after="0" w:line="360" w:lineRule="auto"/>
        <w:ind w:firstLine="480" w:firstLineChars="200"/>
        <w:jc w:val="both"/>
        <w:rPr>
          <w:rFonts w:hint="eastAsia" w:ascii="宋体" w:hAnsi="宋体" w:eastAsia="宋体" w:cs="宋体"/>
          <w:sz w:val="24"/>
          <w14:ligatures w14:val="none"/>
        </w:rPr>
      </w:pPr>
    </w:p>
    <w:p w14:paraId="2E1F2103">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为保护贵司的合法权益，本公司自愿并不可撤销地确认及同意如下：</w:t>
      </w:r>
    </w:p>
    <w:p w14:paraId="7B422DC1">
      <w:pPr>
        <w:spacing w:after="0" w:line="360" w:lineRule="auto"/>
        <w:ind w:firstLine="480" w:firstLineChars="200"/>
        <w:jc w:val="both"/>
        <w:rPr>
          <w:rFonts w:hint="eastAsia" w:ascii="宋体" w:hAnsi="宋体" w:eastAsia="宋体" w:cs="宋体"/>
          <w:sz w:val="24"/>
          <w14:ligatures w14:val="none"/>
        </w:rPr>
      </w:pPr>
    </w:p>
    <w:p w14:paraId="34E231C3">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一、保密信息的定义</w:t>
      </w:r>
    </w:p>
    <w:p w14:paraId="649BC800">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本确认函所称“保密信息”，是指本公司为前述“指定目的”已从或将会从贵司收到的一切规格、资料、样品、流程及其他技术信息、业务信息或商业信息以及产生于前述资料的任何信息。此等信息无论是以口头、书面、电子、图像或其他任何形式披露，无论是否被标记为“保密”，在披露时所处的环境下可被合理理解为具有保密性质的，均受本确认函约束。</w:t>
      </w:r>
    </w:p>
    <w:p w14:paraId="475490C0">
      <w:pPr>
        <w:spacing w:after="0" w:line="360" w:lineRule="auto"/>
        <w:ind w:firstLine="480" w:firstLineChars="200"/>
        <w:jc w:val="both"/>
        <w:rPr>
          <w:rFonts w:hint="eastAsia" w:ascii="宋体" w:hAnsi="宋体" w:eastAsia="宋体" w:cs="宋体"/>
          <w:sz w:val="24"/>
          <w14:ligatures w14:val="none"/>
        </w:rPr>
      </w:pPr>
    </w:p>
    <w:p w14:paraId="1241ED0B">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二、保密义务</w:t>
      </w:r>
    </w:p>
    <w:p w14:paraId="062F89EE">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  使用限制：本公司仅可将保密信息用于“指定目的”，不得用于任何其他用途，包括但不限于禁止将保密信息用于自身产品研发、商业推广、技术反向工程等行为。</w:t>
      </w:r>
    </w:p>
    <w:p w14:paraId="68CB1526">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  披露限制：未经贵司事先书面同意，本公司不得向任何第三方（包括但不限于非直接参与本项目的关联公司、个人或实体）披露任何保密信息。</w:t>
      </w:r>
    </w:p>
    <w:p w14:paraId="51F73AA8">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3.  内部管控：本公司仅可在为达成“指定目的”而必须知悉的本公司员工及关联公司员工范围内传播保密信息，并确保该等人员受到不低于本确认函要求的保密义务的约束。本公司应对其员工、顾问及关联公司的行为承担全部责任。</w:t>
      </w:r>
    </w:p>
    <w:p w14:paraId="14920F6F">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4.  关系保密：本公司同意对与贵司之间潜在的或现有的商业关系予以保密，未经贵司事先书面批准，不向任何第三方披露该等关系，且即便获得批准，供应商仍须确保第三方承担与本确认函同等严格的保密义务。本公司进一步承诺，未经贵司事先书面批准，不在任何宣传材料、公开文件、社交媒体中暗示或明示与贵司存在合作关系。</w:t>
      </w:r>
    </w:p>
    <w:p w14:paraId="4266C4FB">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5.  信息归还：根据贵司要求，本公司将立即归还或按贵司指示销毁所有保密信息及其副本。</w:t>
      </w:r>
    </w:p>
    <w:p w14:paraId="7B9F98BD">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6.  持续义务：本保密义务不因双方合作关系的暂停、中止或终止而失效，在本确认函生效后持续有效，直至该等信息进入公共领域（非因本公司或其人员的过错所致）。</w:t>
      </w:r>
    </w:p>
    <w:p w14:paraId="34B37668">
      <w:pPr>
        <w:spacing w:after="0" w:line="360" w:lineRule="auto"/>
        <w:ind w:firstLine="480" w:firstLineChars="200"/>
        <w:jc w:val="both"/>
        <w:rPr>
          <w:rFonts w:hint="eastAsia" w:ascii="宋体" w:hAnsi="宋体" w:eastAsia="宋体" w:cs="宋体"/>
          <w:sz w:val="24"/>
          <w14:ligatures w14:val="none"/>
        </w:rPr>
      </w:pPr>
    </w:p>
    <w:p w14:paraId="63D25569">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三、违约责任</w:t>
      </w:r>
    </w:p>
    <w:p w14:paraId="172390FD">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本公司确认，如违反本确认函下的任何义务，愿意承担由此给贵司造成的一切损失（包括但不限于直接经济损失、商誉损失、以及贵司为维权所支付的律师费、调查费、诉讼费等全部合理开支），并接受贵司相应的追责行为。</w:t>
      </w:r>
    </w:p>
    <w:p w14:paraId="4A7DE658">
      <w:pPr>
        <w:spacing w:after="0" w:line="360" w:lineRule="auto"/>
        <w:ind w:firstLine="480" w:firstLineChars="200"/>
        <w:jc w:val="both"/>
        <w:rPr>
          <w:rFonts w:hint="eastAsia" w:ascii="宋体" w:hAnsi="宋体" w:eastAsia="宋体" w:cs="宋体"/>
          <w:sz w:val="24"/>
          <w14:ligatures w14:val="none"/>
        </w:rPr>
      </w:pPr>
    </w:p>
    <w:p w14:paraId="5AFA8CCB">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四、其他</w:t>
      </w:r>
    </w:p>
    <w:p w14:paraId="58F824E1">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  本确认函旨在补充（而非取代）本公司与贵司之间任何现已有效的保密协议。如存在不一致之处，应以对贵司保密信息保护更为有利的约定为准。</w:t>
      </w:r>
    </w:p>
    <w:p w14:paraId="42ABC379">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  本确认函一经本公司签署即对本公司具有法律约束力。</w:t>
      </w:r>
    </w:p>
    <w:p w14:paraId="5276DCD6">
      <w:pPr>
        <w:spacing w:after="0" w:line="360" w:lineRule="auto"/>
        <w:ind w:firstLine="480" w:firstLineChars="200"/>
        <w:jc w:val="both"/>
        <w:rPr>
          <w:rFonts w:hint="eastAsia" w:ascii="宋体" w:hAnsi="宋体" w:eastAsia="宋体" w:cs="宋体"/>
          <w:sz w:val="24"/>
          <w14:ligatures w14:val="none"/>
        </w:rPr>
      </w:pPr>
    </w:p>
    <w:p w14:paraId="3502DC74">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特此确认！</w:t>
      </w:r>
    </w:p>
    <w:p w14:paraId="49D01865">
      <w:pPr>
        <w:spacing w:after="0" w:line="360" w:lineRule="auto"/>
        <w:ind w:firstLine="480" w:firstLineChars="200"/>
        <w:jc w:val="both"/>
        <w:rPr>
          <w:rFonts w:hint="eastAsia" w:ascii="宋体" w:hAnsi="宋体" w:eastAsia="宋体" w:cs="宋体"/>
          <w:sz w:val="24"/>
          <w14:ligatures w14:val="none"/>
        </w:rPr>
      </w:pPr>
    </w:p>
    <w:p w14:paraId="4F44B4C1">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供应商（乙方）：</w:t>
      </w:r>
    </w:p>
    <w:p w14:paraId="19D736B1">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（公司盖章）</w:t>
      </w:r>
    </w:p>
    <w:p w14:paraId="7059F153">
      <w:pPr>
        <w:spacing w:after="0" w:line="360" w:lineRule="auto"/>
        <w:ind w:firstLine="480" w:firstLineChars="200"/>
        <w:jc w:val="both"/>
        <w:rPr>
          <w:rFonts w:hint="eastAsia" w:ascii="宋体" w:hAnsi="宋体" w:eastAsia="宋体" w:cs="宋体"/>
          <w:sz w:val="24"/>
          <w14:ligatures w14:val="none"/>
        </w:rPr>
      </w:pPr>
    </w:p>
    <w:p w14:paraId="458BF2DD">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法定代表人/授权代表（签字）：</w:t>
      </w:r>
    </w:p>
    <w:p w14:paraId="24F0EFEA">
      <w:pPr>
        <w:spacing w:after="0" w:line="360" w:lineRule="auto"/>
        <w:ind w:firstLine="480" w:firstLineChars="200"/>
        <w:jc w:val="both"/>
        <w:rPr>
          <w:rFonts w:hint="eastAsia" w:ascii="宋体" w:hAnsi="宋体" w:eastAsia="宋体" w:cs="宋体"/>
          <w:sz w:val="24"/>
          <w14:ligatures w14:val="none"/>
        </w:rPr>
      </w:pPr>
    </w:p>
    <w:p w14:paraId="4A309F80">
      <w:pPr>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日期： 年 月 日</w:t>
      </w:r>
    </w:p>
    <w:p w14:paraId="4663D3E1">
      <w:pPr>
        <w:spacing w:after="0" w:line="360" w:lineRule="auto"/>
        <w:ind w:firstLine="480" w:firstLineChars="200"/>
        <w:jc w:val="both"/>
        <w:rPr>
          <w:rFonts w:hint="eastAsia" w:ascii="宋体" w:hAnsi="宋体" w:eastAsia="宋体" w:cs="宋体"/>
          <w:sz w:val="24"/>
          <w14:ligatures w14:val="none"/>
        </w:rPr>
      </w:pPr>
    </w:p>
    <w:p w14:paraId="7EC44B88">
      <w:pPr>
        <w:spacing w:after="0" w:line="360" w:lineRule="auto"/>
        <w:ind w:firstLine="480" w:firstLineChars="200"/>
        <w:jc w:val="both"/>
        <w:rPr>
          <w:rFonts w:hint="eastAsia" w:ascii="宋体" w:hAnsi="宋体" w:eastAsia="宋体" w:cs="宋体"/>
          <w:sz w:val="24"/>
          <w14:ligatures w14:val="none"/>
        </w:rPr>
      </w:pPr>
    </w:p>
    <w:p w14:paraId="4B9296B8">
      <w:pPr>
        <w:spacing w:before="380" w:after="140" w:line="360" w:lineRule="auto"/>
        <w:ind w:firstLine="482" w:firstLineChars="200"/>
        <w:outlineLvl w:val="0"/>
        <w:rPr>
          <w:rFonts w:hint="eastAsia" w:ascii="宋体" w:hAnsi="宋体" w:eastAsia="宋体"/>
          <w:sz w:val="24"/>
        </w:rPr>
      </w:pPr>
      <w:r>
        <w:rPr>
          <w:rFonts w:ascii="宋体" w:hAnsi="宋体" w:eastAsia="宋体" w:cs="Arial"/>
          <w:b/>
          <w:sz w:val="24"/>
        </w:rPr>
        <w:t>附件：响应文件模板</w:t>
      </w:r>
      <w:bookmarkEnd w:id="24"/>
    </w:p>
    <w:p w14:paraId="51ACE37D">
      <w:pPr>
        <w:spacing w:before="320" w:after="120" w:line="360" w:lineRule="auto"/>
        <w:ind w:firstLine="482" w:firstLineChars="200"/>
        <w:outlineLvl w:val="1"/>
        <w:rPr>
          <w:rFonts w:hint="eastAsia" w:ascii="宋体" w:hAnsi="宋体" w:eastAsia="宋体"/>
          <w:sz w:val="24"/>
        </w:rPr>
      </w:pPr>
      <w:bookmarkStart w:id="41" w:name="heading_40"/>
      <w:r>
        <w:rPr>
          <w:rFonts w:ascii="宋体" w:hAnsi="宋体" w:eastAsia="宋体" w:cs="Arial"/>
          <w:b/>
          <w:sz w:val="24"/>
        </w:rPr>
        <w:t>附件1 法定代表人身份证明</w:t>
      </w:r>
      <w:bookmarkEnd w:id="41"/>
    </w:p>
    <w:p w14:paraId="70A019A9">
      <w:pPr>
        <w:spacing w:before="120" w:after="120" w:line="360" w:lineRule="auto"/>
        <w:ind w:firstLine="482" w:firstLineChars="200"/>
        <w:rPr>
          <w:rFonts w:hint="eastAsia" w:ascii="宋体" w:hAnsi="宋体" w:eastAsia="宋体"/>
          <w:sz w:val="24"/>
        </w:rPr>
      </w:pPr>
      <w:r>
        <w:rPr>
          <w:rFonts w:ascii="宋体" w:hAnsi="宋体" w:eastAsia="宋体" w:cs="Arial"/>
          <w:b/>
          <w:sz w:val="24"/>
        </w:rPr>
        <w:t>供应商名称</w:t>
      </w:r>
      <w:r>
        <w:rPr>
          <w:rFonts w:ascii="宋体" w:hAnsi="宋体" w:eastAsia="宋体" w:cs="Arial"/>
          <w:sz w:val="24"/>
        </w:rPr>
        <w:t>：________________________</w:t>
      </w:r>
    </w:p>
    <w:p w14:paraId="49054DC6">
      <w:pPr>
        <w:spacing w:before="120" w:after="120" w:line="360" w:lineRule="auto"/>
        <w:ind w:firstLine="482" w:firstLineChars="200"/>
        <w:rPr>
          <w:rFonts w:hint="eastAsia" w:ascii="宋体" w:hAnsi="宋体" w:eastAsia="宋体"/>
          <w:sz w:val="24"/>
        </w:rPr>
      </w:pPr>
      <w:r>
        <w:rPr>
          <w:rFonts w:ascii="宋体" w:hAnsi="宋体" w:eastAsia="宋体" w:cs="Arial"/>
          <w:b/>
          <w:sz w:val="24"/>
        </w:rPr>
        <w:t>单位性质</w:t>
      </w:r>
      <w:r>
        <w:rPr>
          <w:rFonts w:ascii="宋体" w:hAnsi="宋体" w:eastAsia="宋体" w:cs="Arial"/>
          <w:sz w:val="24"/>
        </w:rPr>
        <w:t>：________________________</w:t>
      </w:r>
    </w:p>
    <w:p w14:paraId="6B8575A0">
      <w:pPr>
        <w:spacing w:before="120" w:after="120" w:line="360" w:lineRule="auto"/>
        <w:ind w:firstLine="482" w:firstLineChars="200"/>
        <w:rPr>
          <w:rFonts w:hint="eastAsia" w:ascii="宋体" w:hAnsi="宋体" w:eastAsia="宋体"/>
          <w:sz w:val="24"/>
        </w:rPr>
      </w:pPr>
      <w:r>
        <w:rPr>
          <w:rFonts w:ascii="宋体" w:hAnsi="宋体" w:eastAsia="宋体" w:cs="Arial"/>
          <w:b/>
          <w:sz w:val="24"/>
        </w:rPr>
        <w:t>地    址</w:t>
      </w:r>
      <w:r>
        <w:rPr>
          <w:rFonts w:ascii="宋体" w:hAnsi="宋体" w:eastAsia="宋体" w:cs="Arial"/>
          <w:sz w:val="24"/>
        </w:rPr>
        <w:t>：________________________</w:t>
      </w:r>
    </w:p>
    <w:p w14:paraId="79FE6D03">
      <w:pPr>
        <w:spacing w:before="120" w:after="120" w:line="360" w:lineRule="auto"/>
        <w:ind w:firstLine="482" w:firstLineChars="200"/>
        <w:rPr>
          <w:rFonts w:hint="eastAsia" w:ascii="宋体" w:hAnsi="宋体" w:eastAsia="宋体"/>
          <w:sz w:val="24"/>
        </w:rPr>
      </w:pPr>
      <w:r>
        <w:rPr>
          <w:rFonts w:ascii="宋体" w:hAnsi="宋体" w:eastAsia="宋体" w:cs="Arial"/>
          <w:b/>
          <w:sz w:val="24"/>
        </w:rPr>
        <w:t>成立时间</w:t>
      </w:r>
      <w:r>
        <w:rPr>
          <w:rFonts w:ascii="宋体" w:hAnsi="宋体" w:eastAsia="宋体" w:cs="Arial"/>
          <w:sz w:val="24"/>
        </w:rPr>
        <w:t>：____年____月____日</w:t>
      </w:r>
    </w:p>
    <w:p w14:paraId="30A90FE4">
      <w:pPr>
        <w:spacing w:before="120" w:after="120" w:line="360" w:lineRule="auto"/>
        <w:ind w:firstLine="482" w:firstLineChars="200"/>
        <w:rPr>
          <w:rFonts w:hint="eastAsia" w:ascii="宋体" w:hAnsi="宋体" w:eastAsia="宋体"/>
          <w:sz w:val="24"/>
        </w:rPr>
      </w:pPr>
      <w:r>
        <w:rPr>
          <w:rFonts w:ascii="宋体" w:hAnsi="宋体" w:eastAsia="宋体" w:cs="Arial"/>
          <w:b/>
          <w:sz w:val="24"/>
        </w:rPr>
        <w:t>经营期限</w:t>
      </w:r>
      <w:r>
        <w:rPr>
          <w:rFonts w:ascii="宋体" w:hAnsi="宋体" w:eastAsia="宋体" w:cs="Arial"/>
          <w:sz w:val="24"/>
        </w:rPr>
        <w:t>：________________________</w:t>
      </w:r>
    </w:p>
    <w:p w14:paraId="60D364C9">
      <w:pPr>
        <w:spacing w:before="120" w:after="120" w:line="360" w:lineRule="auto"/>
        <w:ind w:firstLine="482" w:firstLineChars="200"/>
        <w:rPr>
          <w:rFonts w:hint="eastAsia" w:ascii="宋体" w:hAnsi="宋体" w:eastAsia="宋体" w:cs="Arial"/>
          <w:sz w:val="24"/>
        </w:rPr>
      </w:pPr>
      <w:r>
        <w:rPr>
          <w:rFonts w:ascii="宋体" w:hAnsi="宋体" w:eastAsia="宋体" w:cs="Arial"/>
          <w:b/>
          <w:sz w:val="24"/>
        </w:rPr>
        <w:t>姓    名</w:t>
      </w:r>
      <w:r>
        <w:rPr>
          <w:rFonts w:ascii="宋体" w:hAnsi="宋体" w:eastAsia="宋体" w:cs="Arial"/>
          <w:sz w:val="24"/>
        </w:rPr>
        <w:t xml:space="preserve">：______  性别：______  年龄：______  </w:t>
      </w:r>
    </w:p>
    <w:p w14:paraId="28CE4D63">
      <w:pPr>
        <w:spacing w:before="120" w:after="120" w:line="360" w:lineRule="auto"/>
        <w:ind w:firstLine="480" w:firstLineChars="200"/>
        <w:rPr>
          <w:rFonts w:hint="eastAsia" w:ascii="宋体" w:hAnsi="宋体" w:eastAsia="宋体"/>
          <w:sz w:val="24"/>
        </w:rPr>
      </w:pPr>
      <w:r>
        <w:rPr>
          <w:rFonts w:ascii="宋体" w:hAnsi="宋体" w:eastAsia="宋体" w:cs="Arial"/>
          <w:sz w:val="24"/>
        </w:rPr>
        <w:t>职务：______系</w:t>
      </w:r>
      <w:r>
        <w:rPr>
          <w:rFonts w:hint="eastAsia" w:ascii="宋体" w:hAnsi="宋体" w:eastAsia="宋体" w:cs="Arial"/>
          <w:sz w:val="24"/>
        </w:rPr>
        <w:t>：</w:t>
      </w:r>
      <w:r>
        <w:rPr>
          <w:rFonts w:ascii="宋体" w:hAnsi="宋体" w:eastAsia="宋体" w:cs="Arial"/>
          <w:sz w:val="24"/>
        </w:rPr>
        <w:t>_______</w:t>
      </w:r>
      <w:r>
        <w:rPr>
          <w:rFonts w:ascii="宋体" w:hAnsi="宋体" w:eastAsia="宋体" w:cs="Arial"/>
          <w:sz w:val="24"/>
          <w:u w:val="single"/>
        </w:rPr>
        <w:t>（供应商</w:t>
      </w:r>
      <w:r>
        <w:rPr>
          <w:rFonts w:hint="eastAsia" w:ascii="宋体" w:hAnsi="宋体" w:eastAsia="宋体" w:cs="Arial"/>
          <w:sz w:val="24"/>
          <w:u w:val="single"/>
        </w:rPr>
        <w:t>单位</w:t>
      </w:r>
      <w:r>
        <w:rPr>
          <w:rFonts w:ascii="宋体" w:hAnsi="宋体" w:eastAsia="宋体" w:cs="Arial"/>
          <w:sz w:val="24"/>
          <w:u w:val="single"/>
        </w:rPr>
        <w:t>名称）_</w:t>
      </w:r>
      <w:r>
        <w:rPr>
          <w:rFonts w:ascii="宋体" w:hAnsi="宋体" w:eastAsia="宋体" w:cs="Arial"/>
          <w:sz w:val="24"/>
        </w:rPr>
        <w:t>_______的法定代表人。</w:t>
      </w:r>
    </w:p>
    <w:p w14:paraId="0D7B84B1">
      <w:pPr>
        <w:spacing w:before="120" w:after="120" w:line="360" w:lineRule="auto"/>
        <w:ind w:firstLine="480" w:firstLineChars="200"/>
        <w:rPr>
          <w:rFonts w:hint="eastAsia" w:ascii="宋体" w:hAnsi="宋体" w:eastAsia="宋体"/>
          <w:sz w:val="24"/>
        </w:rPr>
      </w:pPr>
      <w:r>
        <w:rPr>
          <w:rFonts w:ascii="宋体" w:hAnsi="宋体" w:eastAsia="宋体" w:cs="Arial"/>
          <w:sz w:val="24"/>
        </w:rPr>
        <w:t>特此证明！</w:t>
      </w:r>
    </w:p>
    <w:p w14:paraId="569E36D7">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供应商（加盖公章）：________________________</w:t>
      </w:r>
    </w:p>
    <w:p w14:paraId="0EAACD52">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日    期：____年____月____日</w:t>
      </w:r>
    </w:p>
    <w:p w14:paraId="499375E4">
      <w:pPr>
        <w:spacing w:before="120" w:after="120" w:line="360" w:lineRule="auto"/>
        <w:ind w:firstLine="480" w:firstLineChars="200"/>
        <w:rPr>
          <w:rFonts w:hint="eastAsia" w:ascii="宋体" w:hAnsi="宋体" w:eastAsia="宋体"/>
          <w:sz w:val="24"/>
        </w:rPr>
      </w:pPr>
      <w:r>
        <w:rPr>
          <w:rFonts w:ascii="宋体" w:hAnsi="宋体" w:eastAsia="宋体" w:cs="Arial"/>
          <w:sz w:val="24"/>
        </w:rPr>
        <w:t>（粘贴法定代表人身份证复印件）</w:t>
      </w:r>
    </w:p>
    <w:p w14:paraId="391E8106">
      <w:pPr>
        <w:spacing w:before="320" w:after="120" w:line="360" w:lineRule="auto"/>
        <w:ind w:firstLine="482" w:firstLineChars="200"/>
        <w:outlineLvl w:val="1"/>
        <w:rPr>
          <w:rFonts w:hint="eastAsia" w:ascii="宋体" w:hAnsi="宋体" w:eastAsia="宋体"/>
          <w:sz w:val="24"/>
        </w:rPr>
      </w:pPr>
      <w:bookmarkStart w:id="42" w:name="heading_41"/>
      <w:r>
        <w:rPr>
          <w:rFonts w:ascii="宋体" w:hAnsi="宋体" w:eastAsia="宋体" w:cs="Arial"/>
          <w:b/>
          <w:sz w:val="24"/>
        </w:rPr>
        <w:t>附件2 法定代表人授权委托书</w:t>
      </w:r>
      <w:bookmarkEnd w:id="42"/>
    </w:p>
    <w:p w14:paraId="62488ACF">
      <w:pPr>
        <w:spacing w:before="120" w:after="120" w:line="360" w:lineRule="auto"/>
        <w:ind w:firstLine="480" w:firstLineChars="200"/>
        <w:rPr>
          <w:rFonts w:hint="eastAsia" w:ascii="宋体" w:hAnsi="宋体" w:eastAsia="宋体"/>
          <w:sz w:val="24"/>
        </w:rPr>
      </w:pPr>
      <w:r>
        <w:rPr>
          <w:rFonts w:ascii="宋体" w:hAnsi="宋体" w:eastAsia="宋体" w:cs="Arial"/>
          <w:sz w:val="24"/>
        </w:rPr>
        <w:t>致：广州中大餐饮管理有限公司</w:t>
      </w:r>
      <w:r>
        <w:rPr>
          <w:rFonts w:hint="eastAsia" w:ascii="宋体" w:hAnsi="宋体" w:eastAsia="宋体" w:cs="Arial"/>
          <w:sz w:val="24"/>
        </w:rPr>
        <w:t>、广州中大康乐园餐饮有限公司</w:t>
      </w:r>
    </w:p>
    <w:p w14:paraId="140219EB">
      <w:pPr>
        <w:spacing w:before="120" w:after="120" w:line="360" w:lineRule="auto"/>
        <w:ind w:firstLine="480" w:firstLineChars="200"/>
        <w:rPr>
          <w:rFonts w:hint="eastAsia" w:ascii="宋体" w:hAnsi="宋体" w:eastAsia="宋体"/>
          <w:sz w:val="24"/>
        </w:rPr>
      </w:pPr>
      <w:r>
        <w:rPr>
          <w:rFonts w:ascii="宋体" w:hAnsi="宋体" w:eastAsia="宋体" w:cs="Arial"/>
          <w:sz w:val="24"/>
        </w:rPr>
        <w:t>本单位法定代表人</w:t>
      </w:r>
      <w:r>
        <w:rPr>
          <w:rFonts w:ascii="宋体" w:hAnsi="宋体" w:eastAsia="宋体" w:cs="Arial"/>
          <w:sz w:val="24"/>
          <w:u w:val="single"/>
        </w:rPr>
        <w:t>（姓名）</w:t>
      </w:r>
      <w:r>
        <w:rPr>
          <w:rFonts w:ascii="宋体" w:hAnsi="宋体" w:eastAsia="宋体" w:cs="Arial"/>
          <w:b/>
          <w:sz w:val="24"/>
        </w:rPr>
        <w:t>授权</w:t>
      </w:r>
      <w:r>
        <w:rPr>
          <w:rFonts w:hint="eastAsia" w:ascii="宋体" w:hAnsi="宋体" w:eastAsia="宋体" w:cs="Arial"/>
          <w:b/>
          <w:sz w:val="24"/>
          <w:u w:val="single"/>
        </w:rPr>
        <w:t xml:space="preserve"> </w:t>
      </w:r>
      <w:r>
        <w:rPr>
          <w:rFonts w:ascii="宋体" w:hAnsi="宋体" w:eastAsia="宋体" w:cs="Arial"/>
          <w:sz w:val="24"/>
          <w:u w:val="single"/>
        </w:rPr>
        <w:t>（姓名）</w:t>
      </w:r>
      <w:r>
        <w:rPr>
          <w:rFonts w:hint="eastAsia" w:ascii="宋体" w:hAnsi="宋体" w:eastAsia="宋体" w:cs="Arial"/>
          <w:sz w:val="24"/>
          <w:u w:val="single"/>
        </w:rPr>
        <w:t xml:space="preserve"> </w:t>
      </w:r>
      <w:r>
        <w:rPr>
          <w:rFonts w:ascii="宋体" w:hAnsi="宋体" w:eastAsia="宋体" w:cs="Arial"/>
          <w:sz w:val="24"/>
        </w:rPr>
        <w:t>为我方委托代理人，参加贵单位</w:t>
      </w:r>
      <w:r>
        <w:rPr>
          <w:rFonts w:ascii="宋体" w:hAnsi="宋体" w:eastAsia="宋体" w:cs="Arial"/>
          <w:b/>
          <w:sz w:val="24"/>
        </w:rPr>
        <w:t>中大餐饮、康乐园餐饮2026年端午粽采购项目</w:t>
      </w:r>
      <w:r>
        <w:rPr>
          <w:rFonts w:ascii="宋体" w:hAnsi="宋体" w:eastAsia="宋体" w:cs="Arial"/>
          <w:sz w:val="24"/>
        </w:rPr>
        <w:t>遴选活动，全权代表我方处理该项目遴选、签约等相关事宜。</w:t>
      </w:r>
    </w:p>
    <w:p w14:paraId="2FA9035F">
      <w:pPr>
        <w:spacing w:before="120" w:after="120" w:line="360" w:lineRule="auto"/>
        <w:ind w:firstLine="480" w:firstLineChars="200"/>
        <w:rPr>
          <w:rFonts w:hint="eastAsia" w:ascii="宋体" w:hAnsi="宋体" w:eastAsia="宋体"/>
          <w:sz w:val="24"/>
        </w:rPr>
      </w:pPr>
      <w:r>
        <w:rPr>
          <w:rFonts w:ascii="宋体" w:hAnsi="宋体" w:eastAsia="宋体" w:cs="Arial"/>
          <w:sz w:val="24"/>
        </w:rPr>
        <w:t>委托代理人无转委托权，我方对委托代理人的所有行为承担法律责任。</w:t>
      </w:r>
    </w:p>
    <w:p w14:paraId="01F3136E">
      <w:pPr>
        <w:spacing w:before="120" w:after="120" w:line="360" w:lineRule="auto"/>
        <w:ind w:firstLine="482" w:firstLineChars="200"/>
        <w:rPr>
          <w:rFonts w:hint="eastAsia" w:ascii="宋体" w:hAnsi="宋体" w:eastAsia="宋体"/>
          <w:sz w:val="24"/>
        </w:rPr>
      </w:pPr>
      <w:r>
        <w:rPr>
          <w:rFonts w:ascii="宋体" w:hAnsi="宋体" w:eastAsia="宋体" w:cs="Arial"/>
          <w:b/>
          <w:sz w:val="24"/>
        </w:rPr>
        <w:t>委托代理人信息</w:t>
      </w:r>
      <w:r>
        <w:rPr>
          <w:rFonts w:ascii="宋体" w:hAnsi="宋体" w:eastAsia="宋体" w:cs="Arial"/>
          <w:sz w:val="24"/>
        </w:rPr>
        <w:t>：</w:t>
      </w:r>
    </w:p>
    <w:p w14:paraId="653D141D">
      <w:pPr>
        <w:spacing w:before="120" w:after="120" w:line="360" w:lineRule="auto"/>
        <w:ind w:firstLine="480" w:firstLineChars="200"/>
        <w:rPr>
          <w:rFonts w:hint="eastAsia" w:ascii="宋体" w:hAnsi="宋体" w:eastAsia="宋体"/>
          <w:sz w:val="24"/>
        </w:rPr>
      </w:pPr>
      <w:r>
        <w:rPr>
          <w:rFonts w:ascii="宋体" w:hAnsi="宋体" w:eastAsia="宋体" w:cs="Arial"/>
          <w:sz w:val="24"/>
        </w:rPr>
        <w:t>姓名：________  性别：________  年龄：________  职务：________</w:t>
      </w:r>
    </w:p>
    <w:p w14:paraId="73397C5E">
      <w:pPr>
        <w:spacing w:before="120" w:after="120" w:line="360" w:lineRule="auto"/>
        <w:ind w:firstLine="480" w:firstLineChars="200"/>
        <w:rPr>
          <w:rFonts w:hint="eastAsia" w:ascii="宋体" w:hAnsi="宋体" w:eastAsia="宋体"/>
          <w:sz w:val="24"/>
        </w:rPr>
      </w:pPr>
      <w:r>
        <w:rPr>
          <w:rFonts w:ascii="宋体" w:hAnsi="宋体" w:eastAsia="宋体" w:cs="Arial"/>
          <w:sz w:val="24"/>
        </w:rPr>
        <w:t>电话：________  身份证号码：________</w:t>
      </w:r>
    </w:p>
    <w:p w14:paraId="7F651F33">
      <w:pPr>
        <w:spacing w:before="120" w:after="120" w:line="360" w:lineRule="auto"/>
        <w:ind w:firstLine="480" w:firstLineChars="200"/>
        <w:rPr>
          <w:rFonts w:hint="eastAsia" w:ascii="宋体" w:hAnsi="宋体" w:eastAsia="宋体"/>
          <w:sz w:val="24"/>
        </w:rPr>
      </w:pPr>
      <w:r>
        <w:rPr>
          <w:rFonts w:ascii="宋体" w:hAnsi="宋体" w:eastAsia="宋体" w:cs="Arial"/>
          <w:sz w:val="24"/>
        </w:rPr>
        <w:t>详细通讯地址：________________________</w:t>
      </w:r>
    </w:p>
    <w:p w14:paraId="656AEDDF">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供应商（加盖公章）：________________________</w:t>
      </w:r>
    </w:p>
    <w:p w14:paraId="52347813">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法定代表人（签字/盖章）：________________________</w:t>
      </w:r>
    </w:p>
    <w:p w14:paraId="41EF589A">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委托代理人（签字）：________________________</w:t>
      </w:r>
    </w:p>
    <w:p w14:paraId="1626F4C6">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日    期：____年____月____日</w:t>
      </w:r>
    </w:p>
    <w:p w14:paraId="6F8907D3">
      <w:pPr>
        <w:spacing w:before="120" w:after="120" w:line="360" w:lineRule="auto"/>
        <w:ind w:firstLine="480" w:firstLineChars="200"/>
        <w:rPr>
          <w:rFonts w:hint="eastAsia" w:ascii="宋体" w:hAnsi="宋体" w:eastAsia="宋体"/>
          <w:sz w:val="24"/>
        </w:rPr>
      </w:pPr>
      <w:r>
        <w:rPr>
          <w:rFonts w:ascii="宋体" w:hAnsi="宋体" w:eastAsia="宋体" w:cs="Arial"/>
          <w:sz w:val="24"/>
        </w:rPr>
        <w:t>（粘贴委托代理人身份证复印件）</w:t>
      </w:r>
    </w:p>
    <w:p w14:paraId="76FE16D2">
      <w:pPr>
        <w:spacing w:before="320" w:after="120" w:line="360" w:lineRule="auto"/>
        <w:ind w:firstLine="482" w:firstLineChars="200"/>
        <w:outlineLvl w:val="1"/>
        <w:rPr>
          <w:rFonts w:hint="eastAsia" w:ascii="宋体" w:hAnsi="宋体" w:eastAsia="宋体"/>
          <w:sz w:val="24"/>
        </w:rPr>
      </w:pPr>
      <w:bookmarkStart w:id="43" w:name="heading_43"/>
      <w:r>
        <w:rPr>
          <w:rFonts w:ascii="宋体" w:hAnsi="宋体" w:eastAsia="宋体" w:cs="Arial"/>
          <w:b/>
          <w:sz w:val="24"/>
        </w:rPr>
        <w:t>附件</w:t>
      </w:r>
      <w:r>
        <w:rPr>
          <w:rFonts w:hint="eastAsia" w:ascii="宋体" w:hAnsi="宋体" w:eastAsia="宋体" w:cs="Arial"/>
          <w:b/>
          <w:sz w:val="24"/>
        </w:rPr>
        <w:t>3</w:t>
      </w:r>
      <w:r>
        <w:rPr>
          <w:rFonts w:ascii="宋体" w:hAnsi="宋体" w:eastAsia="宋体" w:cs="Arial"/>
          <w:b/>
          <w:sz w:val="24"/>
        </w:rPr>
        <w:t xml:space="preserve"> 同类项目业绩经验一览表（202</w:t>
      </w:r>
      <w:r>
        <w:rPr>
          <w:rFonts w:hint="eastAsia" w:ascii="宋体" w:hAnsi="宋体" w:eastAsia="宋体" w:cs="Arial"/>
          <w:b/>
          <w:sz w:val="24"/>
        </w:rPr>
        <w:t>3</w:t>
      </w:r>
      <w:r>
        <w:rPr>
          <w:rFonts w:ascii="宋体" w:hAnsi="宋体" w:eastAsia="宋体" w:cs="Arial"/>
          <w:b/>
          <w:sz w:val="24"/>
        </w:rPr>
        <w:t>年1月1日至今）</w:t>
      </w:r>
      <w:bookmarkEnd w:id="43"/>
    </w:p>
    <w:tbl>
      <w:tblPr>
        <w:tblStyle w:val="6"/>
        <w:tblW w:w="9782" w:type="dxa"/>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6"/>
        <w:gridCol w:w="1276"/>
        <w:gridCol w:w="1276"/>
        <w:gridCol w:w="992"/>
        <w:gridCol w:w="1276"/>
        <w:gridCol w:w="1276"/>
        <w:gridCol w:w="1417"/>
        <w:gridCol w:w="1843"/>
      </w:tblGrid>
      <w:tr w14:paraId="6259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6" w:type="dxa"/>
            <w:tcMar>
              <w:top w:w="60" w:type="dxa"/>
              <w:left w:w="120" w:type="dxa"/>
              <w:bottom w:w="30" w:type="dxa"/>
              <w:right w:w="120" w:type="dxa"/>
            </w:tcMar>
          </w:tcPr>
          <w:p w14:paraId="0CBE6928">
            <w:pPr>
              <w:spacing w:before="120" w:after="120" w:line="360" w:lineRule="auto"/>
              <w:jc w:val="center"/>
              <w:rPr>
                <w:rFonts w:hint="eastAsia" w:ascii="宋体" w:hAnsi="宋体" w:eastAsia="宋体"/>
                <w:sz w:val="24"/>
              </w:rPr>
            </w:pPr>
            <w:r>
              <w:rPr>
                <w:rFonts w:ascii="宋体" w:hAnsi="宋体" w:eastAsia="宋体" w:cs="Arial"/>
                <w:sz w:val="24"/>
              </w:rPr>
              <w:t>序号</w:t>
            </w:r>
          </w:p>
        </w:tc>
        <w:tc>
          <w:tcPr>
            <w:tcW w:w="1276" w:type="dxa"/>
            <w:tcMar>
              <w:top w:w="60" w:type="dxa"/>
              <w:left w:w="120" w:type="dxa"/>
              <w:bottom w:w="30" w:type="dxa"/>
              <w:right w:w="120" w:type="dxa"/>
            </w:tcMar>
          </w:tcPr>
          <w:p w14:paraId="7FD4E889">
            <w:pPr>
              <w:spacing w:before="120" w:after="120" w:line="360" w:lineRule="auto"/>
              <w:jc w:val="center"/>
              <w:rPr>
                <w:rFonts w:hint="eastAsia" w:ascii="宋体" w:hAnsi="宋体" w:eastAsia="宋体"/>
                <w:sz w:val="24"/>
              </w:rPr>
            </w:pPr>
            <w:r>
              <w:rPr>
                <w:rFonts w:ascii="宋体" w:hAnsi="宋体" w:eastAsia="宋体" w:cs="Arial"/>
                <w:sz w:val="24"/>
              </w:rPr>
              <w:t>项目名称</w:t>
            </w:r>
          </w:p>
        </w:tc>
        <w:tc>
          <w:tcPr>
            <w:tcW w:w="1276" w:type="dxa"/>
            <w:tcMar>
              <w:top w:w="60" w:type="dxa"/>
              <w:left w:w="120" w:type="dxa"/>
              <w:bottom w:w="30" w:type="dxa"/>
              <w:right w:w="120" w:type="dxa"/>
            </w:tcMar>
          </w:tcPr>
          <w:p w14:paraId="25E9DB23">
            <w:pPr>
              <w:spacing w:before="120" w:after="120" w:line="360" w:lineRule="auto"/>
              <w:jc w:val="center"/>
              <w:rPr>
                <w:rFonts w:hint="eastAsia" w:ascii="宋体" w:hAnsi="宋体" w:eastAsia="宋体"/>
                <w:sz w:val="24"/>
              </w:rPr>
            </w:pPr>
            <w:r>
              <w:rPr>
                <w:rFonts w:ascii="宋体" w:hAnsi="宋体" w:eastAsia="宋体" w:cs="Arial"/>
                <w:sz w:val="24"/>
              </w:rPr>
              <w:t>合作单位</w:t>
            </w:r>
          </w:p>
        </w:tc>
        <w:tc>
          <w:tcPr>
            <w:tcW w:w="992" w:type="dxa"/>
            <w:tcMar>
              <w:top w:w="60" w:type="dxa"/>
              <w:left w:w="120" w:type="dxa"/>
              <w:bottom w:w="30" w:type="dxa"/>
              <w:right w:w="120" w:type="dxa"/>
            </w:tcMar>
          </w:tcPr>
          <w:p w14:paraId="1788A1DD">
            <w:pPr>
              <w:spacing w:before="120" w:after="120" w:line="360" w:lineRule="auto"/>
              <w:jc w:val="center"/>
              <w:rPr>
                <w:rFonts w:hint="eastAsia" w:ascii="宋体" w:hAnsi="宋体" w:eastAsia="宋体"/>
                <w:sz w:val="24"/>
              </w:rPr>
            </w:pPr>
            <w:r>
              <w:rPr>
                <w:rFonts w:ascii="宋体" w:hAnsi="宋体" w:eastAsia="宋体" w:cs="Arial"/>
                <w:sz w:val="24"/>
              </w:rPr>
              <w:t>物资品类</w:t>
            </w:r>
          </w:p>
        </w:tc>
        <w:tc>
          <w:tcPr>
            <w:tcW w:w="1276" w:type="dxa"/>
            <w:tcMar>
              <w:top w:w="60" w:type="dxa"/>
              <w:left w:w="120" w:type="dxa"/>
              <w:bottom w:w="30" w:type="dxa"/>
              <w:right w:w="120" w:type="dxa"/>
            </w:tcMar>
          </w:tcPr>
          <w:p w14:paraId="6FB64E15">
            <w:pPr>
              <w:spacing w:before="120" w:after="120" w:line="360" w:lineRule="auto"/>
              <w:jc w:val="center"/>
              <w:rPr>
                <w:rFonts w:hint="eastAsia" w:ascii="宋体" w:hAnsi="宋体" w:eastAsia="宋体"/>
                <w:sz w:val="24"/>
              </w:rPr>
            </w:pPr>
            <w:r>
              <w:rPr>
                <w:rFonts w:ascii="宋体" w:hAnsi="宋体" w:eastAsia="宋体" w:cs="Arial"/>
                <w:sz w:val="24"/>
              </w:rPr>
              <w:t>合同金额（万元）</w:t>
            </w:r>
          </w:p>
        </w:tc>
        <w:tc>
          <w:tcPr>
            <w:tcW w:w="1276" w:type="dxa"/>
            <w:tcMar>
              <w:top w:w="60" w:type="dxa"/>
              <w:left w:w="120" w:type="dxa"/>
              <w:bottom w:w="30" w:type="dxa"/>
              <w:right w:w="120" w:type="dxa"/>
            </w:tcMar>
          </w:tcPr>
          <w:p w14:paraId="3FDE81AD">
            <w:pPr>
              <w:spacing w:before="120" w:after="120" w:line="360" w:lineRule="auto"/>
              <w:jc w:val="center"/>
              <w:rPr>
                <w:rFonts w:hint="eastAsia" w:ascii="宋体" w:hAnsi="宋体" w:eastAsia="宋体"/>
                <w:sz w:val="24"/>
              </w:rPr>
            </w:pPr>
            <w:r>
              <w:rPr>
                <w:rFonts w:ascii="宋体" w:hAnsi="宋体" w:eastAsia="宋体" w:cs="Arial"/>
                <w:sz w:val="24"/>
              </w:rPr>
              <w:t>合作期限</w:t>
            </w:r>
          </w:p>
        </w:tc>
        <w:tc>
          <w:tcPr>
            <w:tcW w:w="1417" w:type="dxa"/>
            <w:tcMar>
              <w:top w:w="60" w:type="dxa"/>
              <w:left w:w="120" w:type="dxa"/>
              <w:bottom w:w="30" w:type="dxa"/>
              <w:right w:w="120" w:type="dxa"/>
            </w:tcMar>
          </w:tcPr>
          <w:p w14:paraId="5621A20A">
            <w:pPr>
              <w:spacing w:before="120" w:after="120" w:line="360" w:lineRule="auto"/>
              <w:jc w:val="center"/>
              <w:rPr>
                <w:rFonts w:hint="eastAsia" w:ascii="宋体" w:hAnsi="宋体" w:eastAsia="宋体"/>
                <w:sz w:val="24"/>
              </w:rPr>
            </w:pPr>
            <w:r>
              <w:rPr>
                <w:rFonts w:ascii="宋体" w:hAnsi="宋体" w:eastAsia="宋体" w:cs="Arial"/>
                <w:sz w:val="24"/>
              </w:rPr>
              <w:t>联系人</w:t>
            </w:r>
          </w:p>
        </w:tc>
        <w:tc>
          <w:tcPr>
            <w:tcW w:w="1843" w:type="dxa"/>
            <w:tcMar>
              <w:top w:w="60" w:type="dxa"/>
              <w:left w:w="120" w:type="dxa"/>
              <w:bottom w:w="30" w:type="dxa"/>
              <w:right w:w="120" w:type="dxa"/>
            </w:tcMar>
          </w:tcPr>
          <w:p w14:paraId="63522B74">
            <w:pPr>
              <w:spacing w:before="120" w:after="120" w:line="360" w:lineRule="auto"/>
              <w:jc w:val="center"/>
              <w:rPr>
                <w:rFonts w:hint="eastAsia" w:ascii="宋体" w:hAnsi="宋体" w:eastAsia="宋体"/>
                <w:sz w:val="24"/>
              </w:rPr>
            </w:pPr>
            <w:r>
              <w:rPr>
                <w:rFonts w:ascii="宋体" w:hAnsi="宋体" w:eastAsia="宋体" w:cs="Arial"/>
                <w:sz w:val="24"/>
              </w:rPr>
              <w:t>联系电话</w:t>
            </w:r>
          </w:p>
        </w:tc>
      </w:tr>
      <w:tr w14:paraId="4C9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6" w:type="dxa"/>
            <w:tcMar>
              <w:top w:w="60" w:type="dxa"/>
              <w:left w:w="120" w:type="dxa"/>
              <w:bottom w:w="30" w:type="dxa"/>
              <w:right w:w="120" w:type="dxa"/>
            </w:tcMar>
          </w:tcPr>
          <w:p w14:paraId="2E380994">
            <w:pPr>
              <w:spacing w:before="120" w:after="120" w:line="360" w:lineRule="auto"/>
              <w:jc w:val="center"/>
              <w:rPr>
                <w:rFonts w:hint="eastAsia" w:ascii="宋体" w:hAnsi="宋体" w:eastAsia="宋体"/>
                <w:sz w:val="24"/>
              </w:rPr>
            </w:pPr>
            <w:r>
              <w:rPr>
                <w:rFonts w:ascii="宋体" w:hAnsi="宋体" w:eastAsia="宋体" w:cs="Arial"/>
                <w:sz w:val="24"/>
              </w:rPr>
              <w:t>1</w:t>
            </w:r>
          </w:p>
        </w:tc>
        <w:tc>
          <w:tcPr>
            <w:tcW w:w="1276" w:type="dxa"/>
            <w:tcMar>
              <w:top w:w="60" w:type="dxa"/>
              <w:left w:w="120" w:type="dxa"/>
              <w:bottom w:w="30" w:type="dxa"/>
              <w:right w:w="120" w:type="dxa"/>
            </w:tcMar>
          </w:tcPr>
          <w:p w14:paraId="36D43F45">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078BFF01">
            <w:pPr>
              <w:spacing w:line="360" w:lineRule="auto"/>
              <w:rPr>
                <w:rFonts w:hint="eastAsia" w:ascii="宋体" w:hAnsi="宋体" w:eastAsia="宋体"/>
                <w:sz w:val="24"/>
              </w:rPr>
            </w:pPr>
          </w:p>
        </w:tc>
        <w:tc>
          <w:tcPr>
            <w:tcW w:w="992" w:type="dxa"/>
            <w:tcMar>
              <w:top w:w="60" w:type="dxa"/>
              <w:left w:w="120" w:type="dxa"/>
              <w:bottom w:w="30" w:type="dxa"/>
              <w:right w:w="120" w:type="dxa"/>
            </w:tcMar>
          </w:tcPr>
          <w:p w14:paraId="20C2810A">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60DD0E89">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1B837690">
            <w:pPr>
              <w:spacing w:line="360" w:lineRule="auto"/>
              <w:rPr>
                <w:rFonts w:hint="eastAsia" w:ascii="宋体" w:hAnsi="宋体" w:eastAsia="宋体"/>
                <w:sz w:val="24"/>
              </w:rPr>
            </w:pPr>
          </w:p>
        </w:tc>
        <w:tc>
          <w:tcPr>
            <w:tcW w:w="1417" w:type="dxa"/>
            <w:tcMar>
              <w:top w:w="60" w:type="dxa"/>
              <w:left w:w="120" w:type="dxa"/>
              <w:bottom w:w="30" w:type="dxa"/>
              <w:right w:w="120" w:type="dxa"/>
            </w:tcMar>
          </w:tcPr>
          <w:p w14:paraId="1D682F28">
            <w:pPr>
              <w:spacing w:line="360" w:lineRule="auto"/>
              <w:rPr>
                <w:rFonts w:hint="eastAsia" w:ascii="宋体" w:hAnsi="宋体" w:eastAsia="宋体"/>
                <w:sz w:val="24"/>
              </w:rPr>
            </w:pPr>
          </w:p>
        </w:tc>
        <w:tc>
          <w:tcPr>
            <w:tcW w:w="1843" w:type="dxa"/>
            <w:tcMar>
              <w:top w:w="60" w:type="dxa"/>
              <w:left w:w="120" w:type="dxa"/>
              <w:bottom w:w="30" w:type="dxa"/>
              <w:right w:w="120" w:type="dxa"/>
            </w:tcMar>
          </w:tcPr>
          <w:p w14:paraId="40E5D7E4">
            <w:pPr>
              <w:spacing w:line="360" w:lineRule="auto"/>
              <w:rPr>
                <w:rFonts w:hint="eastAsia" w:ascii="宋体" w:hAnsi="宋体" w:eastAsia="宋体"/>
                <w:sz w:val="24"/>
              </w:rPr>
            </w:pPr>
          </w:p>
        </w:tc>
      </w:tr>
      <w:tr w14:paraId="57BB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6" w:type="dxa"/>
            <w:tcMar>
              <w:top w:w="60" w:type="dxa"/>
              <w:left w:w="120" w:type="dxa"/>
              <w:bottom w:w="30" w:type="dxa"/>
              <w:right w:w="120" w:type="dxa"/>
            </w:tcMar>
          </w:tcPr>
          <w:p w14:paraId="007CF1E5">
            <w:pPr>
              <w:spacing w:before="120" w:after="120" w:line="360" w:lineRule="auto"/>
              <w:jc w:val="center"/>
              <w:rPr>
                <w:rFonts w:hint="eastAsia" w:ascii="宋体" w:hAnsi="宋体" w:eastAsia="宋体"/>
                <w:sz w:val="24"/>
              </w:rPr>
            </w:pPr>
            <w:r>
              <w:rPr>
                <w:rFonts w:ascii="宋体" w:hAnsi="宋体" w:eastAsia="宋体" w:cs="Arial"/>
                <w:sz w:val="24"/>
              </w:rPr>
              <w:t>2</w:t>
            </w:r>
          </w:p>
        </w:tc>
        <w:tc>
          <w:tcPr>
            <w:tcW w:w="1276" w:type="dxa"/>
            <w:tcMar>
              <w:top w:w="60" w:type="dxa"/>
              <w:left w:w="120" w:type="dxa"/>
              <w:bottom w:w="30" w:type="dxa"/>
              <w:right w:w="120" w:type="dxa"/>
            </w:tcMar>
          </w:tcPr>
          <w:p w14:paraId="545897BC">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65C1F451">
            <w:pPr>
              <w:spacing w:line="360" w:lineRule="auto"/>
              <w:rPr>
                <w:rFonts w:hint="eastAsia" w:ascii="宋体" w:hAnsi="宋体" w:eastAsia="宋体"/>
                <w:sz w:val="24"/>
              </w:rPr>
            </w:pPr>
          </w:p>
        </w:tc>
        <w:tc>
          <w:tcPr>
            <w:tcW w:w="992" w:type="dxa"/>
            <w:tcMar>
              <w:top w:w="60" w:type="dxa"/>
              <w:left w:w="120" w:type="dxa"/>
              <w:bottom w:w="30" w:type="dxa"/>
              <w:right w:w="120" w:type="dxa"/>
            </w:tcMar>
          </w:tcPr>
          <w:p w14:paraId="5CC6B7BE">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4E83D894">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33187677">
            <w:pPr>
              <w:spacing w:line="360" w:lineRule="auto"/>
              <w:rPr>
                <w:rFonts w:hint="eastAsia" w:ascii="宋体" w:hAnsi="宋体" w:eastAsia="宋体"/>
                <w:sz w:val="24"/>
              </w:rPr>
            </w:pPr>
          </w:p>
        </w:tc>
        <w:tc>
          <w:tcPr>
            <w:tcW w:w="1417" w:type="dxa"/>
            <w:tcMar>
              <w:top w:w="60" w:type="dxa"/>
              <w:left w:w="120" w:type="dxa"/>
              <w:bottom w:w="30" w:type="dxa"/>
              <w:right w:w="120" w:type="dxa"/>
            </w:tcMar>
          </w:tcPr>
          <w:p w14:paraId="4C857EC2">
            <w:pPr>
              <w:spacing w:line="360" w:lineRule="auto"/>
              <w:rPr>
                <w:rFonts w:hint="eastAsia" w:ascii="宋体" w:hAnsi="宋体" w:eastAsia="宋体"/>
                <w:sz w:val="24"/>
              </w:rPr>
            </w:pPr>
          </w:p>
        </w:tc>
        <w:tc>
          <w:tcPr>
            <w:tcW w:w="1843" w:type="dxa"/>
            <w:tcMar>
              <w:top w:w="60" w:type="dxa"/>
              <w:left w:w="120" w:type="dxa"/>
              <w:bottom w:w="30" w:type="dxa"/>
              <w:right w:w="120" w:type="dxa"/>
            </w:tcMar>
          </w:tcPr>
          <w:p w14:paraId="385CB5EA">
            <w:pPr>
              <w:spacing w:line="360" w:lineRule="auto"/>
              <w:rPr>
                <w:rFonts w:hint="eastAsia" w:ascii="宋体" w:hAnsi="宋体" w:eastAsia="宋体"/>
                <w:sz w:val="24"/>
              </w:rPr>
            </w:pPr>
          </w:p>
        </w:tc>
      </w:tr>
      <w:tr w14:paraId="1BF0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6" w:type="dxa"/>
            <w:tcMar>
              <w:top w:w="60" w:type="dxa"/>
              <w:left w:w="120" w:type="dxa"/>
              <w:bottom w:w="30" w:type="dxa"/>
              <w:right w:w="120" w:type="dxa"/>
            </w:tcMar>
          </w:tcPr>
          <w:p w14:paraId="52E53639">
            <w:pPr>
              <w:spacing w:before="120" w:after="120" w:line="360" w:lineRule="auto"/>
              <w:jc w:val="center"/>
              <w:rPr>
                <w:rFonts w:hint="eastAsia" w:ascii="宋体" w:hAnsi="宋体" w:eastAsia="宋体"/>
                <w:sz w:val="24"/>
              </w:rPr>
            </w:pPr>
            <w:r>
              <w:rPr>
                <w:rFonts w:ascii="宋体" w:hAnsi="宋体" w:eastAsia="宋体" w:cs="Arial"/>
                <w:sz w:val="24"/>
              </w:rPr>
              <w:t>3</w:t>
            </w:r>
          </w:p>
        </w:tc>
        <w:tc>
          <w:tcPr>
            <w:tcW w:w="1276" w:type="dxa"/>
            <w:tcMar>
              <w:top w:w="60" w:type="dxa"/>
              <w:left w:w="120" w:type="dxa"/>
              <w:bottom w:w="30" w:type="dxa"/>
              <w:right w:w="120" w:type="dxa"/>
            </w:tcMar>
          </w:tcPr>
          <w:p w14:paraId="3E5E08EA">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3888DB8A">
            <w:pPr>
              <w:spacing w:line="360" w:lineRule="auto"/>
              <w:rPr>
                <w:rFonts w:hint="eastAsia" w:ascii="宋体" w:hAnsi="宋体" w:eastAsia="宋体"/>
                <w:sz w:val="24"/>
              </w:rPr>
            </w:pPr>
          </w:p>
        </w:tc>
        <w:tc>
          <w:tcPr>
            <w:tcW w:w="992" w:type="dxa"/>
            <w:tcMar>
              <w:top w:w="60" w:type="dxa"/>
              <w:left w:w="120" w:type="dxa"/>
              <w:bottom w:w="30" w:type="dxa"/>
              <w:right w:w="120" w:type="dxa"/>
            </w:tcMar>
          </w:tcPr>
          <w:p w14:paraId="755B1180">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41BB4992">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4902396F">
            <w:pPr>
              <w:spacing w:line="360" w:lineRule="auto"/>
              <w:rPr>
                <w:rFonts w:hint="eastAsia" w:ascii="宋体" w:hAnsi="宋体" w:eastAsia="宋体"/>
                <w:sz w:val="24"/>
              </w:rPr>
            </w:pPr>
          </w:p>
        </w:tc>
        <w:tc>
          <w:tcPr>
            <w:tcW w:w="1417" w:type="dxa"/>
            <w:tcMar>
              <w:top w:w="60" w:type="dxa"/>
              <w:left w:w="120" w:type="dxa"/>
              <w:bottom w:w="30" w:type="dxa"/>
              <w:right w:w="120" w:type="dxa"/>
            </w:tcMar>
          </w:tcPr>
          <w:p w14:paraId="75623787">
            <w:pPr>
              <w:spacing w:line="360" w:lineRule="auto"/>
              <w:rPr>
                <w:rFonts w:hint="eastAsia" w:ascii="宋体" w:hAnsi="宋体" w:eastAsia="宋体"/>
                <w:sz w:val="24"/>
              </w:rPr>
            </w:pPr>
          </w:p>
        </w:tc>
        <w:tc>
          <w:tcPr>
            <w:tcW w:w="1843" w:type="dxa"/>
            <w:tcMar>
              <w:top w:w="60" w:type="dxa"/>
              <w:left w:w="120" w:type="dxa"/>
              <w:bottom w:w="30" w:type="dxa"/>
              <w:right w:w="120" w:type="dxa"/>
            </w:tcMar>
          </w:tcPr>
          <w:p w14:paraId="53F93EF0">
            <w:pPr>
              <w:spacing w:line="360" w:lineRule="auto"/>
              <w:rPr>
                <w:rFonts w:hint="eastAsia" w:ascii="宋体" w:hAnsi="宋体" w:eastAsia="宋体"/>
                <w:sz w:val="24"/>
              </w:rPr>
            </w:pPr>
          </w:p>
        </w:tc>
      </w:tr>
      <w:tr w14:paraId="7CF5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6" w:type="dxa"/>
            <w:tcMar>
              <w:top w:w="60" w:type="dxa"/>
              <w:left w:w="120" w:type="dxa"/>
              <w:bottom w:w="30" w:type="dxa"/>
              <w:right w:w="120" w:type="dxa"/>
            </w:tcMar>
          </w:tcPr>
          <w:p w14:paraId="6D788286">
            <w:pPr>
              <w:spacing w:before="120" w:after="120" w:line="360" w:lineRule="auto"/>
              <w:jc w:val="center"/>
              <w:rPr>
                <w:rFonts w:hint="eastAsia" w:ascii="宋体" w:hAnsi="宋体" w:eastAsia="宋体"/>
                <w:sz w:val="24"/>
              </w:rPr>
            </w:pPr>
            <w:r>
              <w:rPr>
                <w:rFonts w:ascii="宋体" w:hAnsi="宋体" w:eastAsia="宋体" w:cs="Arial"/>
                <w:sz w:val="24"/>
              </w:rPr>
              <w:t>4</w:t>
            </w:r>
          </w:p>
        </w:tc>
        <w:tc>
          <w:tcPr>
            <w:tcW w:w="1276" w:type="dxa"/>
            <w:tcMar>
              <w:top w:w="60" w:type="dxa"/>
              <w:left w:w="120" w:type="dxa"/>
              <w:bottom w:w="30" w:type="dxa"/>
              <w:right w:w="120" w:type="dxa"/>
            </w:tcMar>
          </w:tcPr>
          <w:p w14:paraId="4334443E">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472AD836">
            <w:pPr>
              <w:spacing w:line="360" w:lineRule="auto"/>
              <w:rPr>
                <w:rFonts w:hint="eastAsia" w:ascii="宋体" w:hAnsi="宋体" w:eastAsia="宋体"/>
                <w:sz w:val="24"/>
              </w:rPr>
            </w:pPr>
          </w:p>
        </w:tc>
        <w:tc>
          <w:tcPr>
            <w:tcW w:w="992" w:type="dxa"/>
            <w:tcMar>
              <w:top w:w="60" w:type="dxa"/>
              <w:left w:w="120" w:type="dxa"/>
              <w:bottom w:w="30" w:type="dxa"/>
              <w:right w:w="120" w:type="dxa"/>
            </w:tcMar>
          </w:tcPr>
          <w:p w14:paraId="51B579B7">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3A0B431D">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5D1A7D02">
            <w:pPr>
              <w:spacing w:line="360" w:lineRule="auto"/>
              <w:rPr>
                <w:rFonts w:hint="eastAsia" w:ascii="宋体" w:hAnsi="宋体" w:eastAsia="宋体"/>
                <w:sz w:val="24"/>
              </w:rPr>
            </w:pPr>
          </w:p>
        </w:tc>
        <w:tc>
          <w:tcPr>
            <w:tcW w:w="1417" w:type="dxa"/>
            <w:tcMar>
              <w:top w:w="60" w:type="dxa"/>
              <w:left w:w="120" w:type="dxa"/>
              <w:bottom w:w="30" w:type="dxa"/>
              <w:right w:w="120" w:type="dxa"/>
            </w:tcMar>
          </w:tcPr>
          <w:p w14:paraId="5C3AAEE2">
            <w:pPr>
              <w:spacing w:line="360" w:lineRule="auto"/>
              <w:rPr>
                <w:rFonts w:hint="eastAsia" w:ascii="宋体" w:hAnsi="宋体" w:eastAsia="宋体"/>
                <w:sz w:val="24"/>
              </w:rPr>
            </w:pPr>
          </w:p>
        </w:tc>
        <w:tc>
          <w:tcPr>
            <w:tcW w:w="1843" w:type="dxa"/>
            <w:tcMar>
              <w:top w:w="60" w:type="dxa"/>
              <w:left w:w="120" w:type="dxa"/>
              <w:bottom w:w="30" w:type="dxa"/>
              <w:right w:w="120" w:type="dxa"/>
            </w:tcMar>
          </w:tcPr>
          <w:p w14:paraId="5254094A">
            <w:pPr>
              <w:spacing w:line="360" w:lineRule="auto"/>
              <w:rPr>
                <w:rFonts w:hint="eastAsia" w:ascii="宋体" w:hAnsi="宋体" w:eastAsia="宋体"/>
                <w:sz w:val="24"/>
              </w:rPr>
            </w:pPr>
          </w:p>
        </w:tc>
      </w:tr>
      <w:tr w14:paraId="5458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6" w:type="dxa"/>
            <w:tcMar>
              <w:top w:w="60" w:type="dxa"/>
              <w:left w:w="120" w:type="dxa"/>
              <w:bottom w:w="30" w:type="dxa"/>
              <w:right w:w="120" w:type="dxa"/>
            </w:tcMar>
          </w:tcPr>
          <w:p w14:paraId="66994630">
            <w:pPr>
              <w:spacing w:before="120" w:after="120" w:line="360" w:lineRule="auto"/>
              <w:jc w:val="center"/>
              <w:rPr>
                <w:rFonts w:hint="eastAsia" w:ascii="宋体" w:hAnsi="宋体" w:eastAsia="宋体"/>
                <w:sz w:val="24"/>
              </w:rPr>
            </w:pPr>
            <w:r>
              <w:rPr>
                <w:rFonts w:ascii="宋体" w:hAnsi="宋体" w:eastAsia="宋体" w:cs="Arial"/>
                <w:sz w:val="24"/>
              </w:rPr>
              <w:t>5</w:t>
            </w:r>
          </w:p>
        </w:tc>
        <w:tc>
          <w:tcPr>
            <w:tcW w:w="1276" w:type="dxa"/>
            <w:tcMar>
              <w:top w:w="60" w:type="dxa"/>
              <w:left w:w="120" w:type="dxa"/>
              <w:bottom w:w="30" w:type="dxa"/>
              <w:right w:w="120" w:type="dxa"/>
            </w:tcMar>
          </w:tcPr>
          <w:p w14:paraId="21268378">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5D8E58E0">
            <w:pPr>
              <w:spacing w:line="360" w:lineRule="auto"/>
              <w:rPr>
                <w:rFonts w:hint="eastAsia" w:ascii="宋体" w:hAnsi="宋体" w:eastAsia="宋体"/>
                <w:sz w:val="24"/>
              </w:rPr>
            </w:pPr>
          </w:p>
        </w:tc>
        <w:tc>
          <w:tcPr>
            <w:tcW w:w="992" w:type="dxa"/>
            <w:tcMar>
              <w:top w:w="60" w:type="dxa"/>
              <w:left w:w="120" w:type="dxa"/>
              <w:bottom w:w="30" w:type="dxa"/>
              <w:right w:w="120" w:type="dxa"/>
            </w:tcMar>
          </w:tcPr>
          <w:p w14:paraId="38F471C0">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14BCAD91">
            <w:pPr>
              <w:spacing w:line="360" w:lineRule="auto"/>
              <w:rPr>
                <w:rFonts w:hint="eastAsia" w:ascii="宋体" w:hAnsi="宋体" w:eastAsia="宋体"/>
                <w:sz w:val="24"/>
              </w:rPr>
            </w:pPr>
          </w:p>
        </w:tc>
        <w:tc>
          <w:tcPr>
            <w:tcW w:w="1276" w:type="dxa"/>
            <w:tcMar>
              <w:top w:w="60" w:type="dxa"/>
              <w:left w:w="120" w:type="dxa"/>
              <w:bottom w:w="30" w:type="dxa"/>
              <w:right w:w="120" w:type="dxa"/>
            </w:tcMar>
          </w:tcPr>
          <w:p w14:paraId="255B4CD9">
            <w:pPr>
              <w:spacing w:line="360" w:lineRule="auto"/>
              <w:rPr>
                <w:rFonts w:hint="eastAsia" w:ascii="宋体" w:hAnsi="宋体" w:eastAsia="宋体"/>
                <w:sz w:val="24"/>
              </w:rPr>
            </w:pPr>
          </w:p>
        </w:tc>
        <w:tc>
          <w:tcPr>
            <w:tcW w:w="1417" w:type="dxa"/>
            <w:tcMar>
              <w:top w:w="60" w:type="dxa"/>
              <w:left w:w="120" w:type="dxa"/>
              <w:bottom w:w="30" w:type="dxa"/>
              <w:right w:w="120" w:type="dxa"/>
            </w:tcMar>
          </w:tcPr>
          <w:p w14:paraId="3A9FEB03">
            <w:pPr>
              <w:spacing w:line="360" w:lineRule="auto"/>
              <w:rPr>
                <w:rFonts w:hint="eastAsia" w:ascii="宋体" w:hAnsi="宋体" w:eastAsia="宋体"/>
                <w:sz w:val="24"/>
              </w:rPr>
            </w:pPr>
          </w:p>
        </w:tc>
        <w:tc>
          <w:tcPr>
            <w:tcW w:w="1843" w:type="dxa"/>
            <w:tcMar>
              <w:top w:w="60" w:type="dxa"/>
              <w:left w:w="120" w:type="dxa"/>
              <w:bottom w:w="30" w:type="dxa"/>
              <w:right w:w="120" w:type="dxa"/>
            </w:tcMar>
          </w:tcPr>
          <w:p w14:paraId="2407A530">
            <w:pPr>
              <w:spacing w:line="360" w:lineRule="auto"/>
              <w:rPr>
                <w:rFonts w:hint="eastAsia" w:ascii="宋体" w:hAnsi="宋体" w:eastAsia="宋体"/>
                <w:sz w:val="24"/>
              </w:rPr>
            </w:pPr>
          </w:p>
        </w:tc>
      </w:tr>
    </w:tbl>
    <w:p w14:paraId="719A0694">
      <w:pPr>
        <w:spacing w:before="120" w:after="120" w:line="360" w:lineRule="auto"/>
        <w:ind w:firstLine="482" w:firstLineChars="200"/>
        <w:rPr>
          <w:rFonts w:hint="eastAsia" w:ascii="宋体" w:hAnsi="宋体" w:eastAsia="宋体"/>
          <w:sz w:val="24"/>
        </w:rPr>
      </w:pPr>
      <w:r>
        <w:rPr>
          <w:rFonts w:ascii="宋体" w:hAnsi="宋体" w:eastAsia="宋体" w:cs="Arial"/>
          <w:b/>
          <w:sz w:val="24"/>
        </w:rPr>
        <w:t>备注</w:t>
      </w:r>
      <w:r>
        <w:rPr>
          <w:rFonts w:ascii="宋体" w:hAnsi="宋体" w:eastAsia="宋体" w:cs="Arial"/>
          <w:sz w:val="24"/>
        </w:rPr>
        <w:t>：须附对应合同关键页复印件，否则该业绩不计分。</w:t>
      </w:r>
    </w:p>
    <w:p w14:paraId="3CFB5500">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供应商（加盖公章）：________________________</w:t>
      </w:r>
    </w:p>
    <w:p w14:paraId="10F8B6F2">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日    期：____年____月____日</w:t>
      </w:r>
    </w:p>
    <w:p w14:paraId="308F2281">
      <w:pPr>
        <w:spacing w:before="320" w:after="120" w:line="360" w:lineRule="auto"/>
        <w:outlineLvl w:val="1"/>
        <w:rPr>
          <w:rFonts w:hint="eastAsia" w:ascii="宋体" w:hAnsi="宋体" w:eastAsia="宋体"/>
          <w:sz w:val="24"/>
        </w:rPr>
      </w:pPr>
      <w:bookmarkStart w:id="44" w:name="heading_44"/>
      <w:r>
        <w:rPr>
          <w:rFonts w:ascii="宋体" w:hAnsi="宋体" w:eastAsia="宋体" w:cs="Arial"/>
          <w:b/>
          <w:sz w:val="24"/>
        </w:rPr>
        <w:t>附件</w:t>
      </w:r>
      <w:r>
        <w:rPr>
          <w:rFonts w:hint="eastAsia" w:ascii="宋体" w:hAnsi="宋体" w:eastAsia="宋体" w:cs="Arial"/>
          <w:b/>
          <w:sz w:val="24"/>
        </w:rPr>
        <w:t>4</w:t>
      </w:r>
      <w:r>
        <w:rPr>
          <w:rFonts w:ascii="宋体" w:hAnsi="宋体" w:eastAsia="宋体" w:cs="Arial"/>
          <w:b/>
          <w:sz w:val="24"/>
        </w:rPr>
        <w:t xml:space="preserve"> 投标样板明细表</w:t>
      </w:r>
      <w:bookmarkEnd w:id="44"/>
    </w:p>
    <w:tbl>
      <w:tblPr>
        <w:tblStyle w:val="6"/>
        <w:tblW w:w="9549"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1"/>
        <w:gridCol w:w="1276"/>
        <w:gridCol w:w="1275"/>
        <w:gridCol w:w="1185"/>
        <w:gridCol w:w="1497"/>
        <w:gridCol w:w="2280"/>
        <w:gridCol w:w="1185"/>
      </w:tblGrid>
      <w:tr w14:paraId="6558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7E2B785D">
            <w:pPr>
              <w:spacing w:before="120" w:after="120" w:line="360" w:lineRule="auto"/>
              <w:jc w:val="center"/>
              <w:rPr>
                <w:rFonts w:hint="eastAsia" w:ascii="宋体" w:hAnsi="宋体" w:eastAsia="宋体"/>
                <w:sz w:val="24"/>
              </w:rPr>
            </w:pPr>
            <w:r>
              <w:rPr>
                <w:rFonts w:ascii="宋体" w:hAnsi="宋体" w:eastAsia="宋体" w:cs="Arial"/>
                <w:sz w:val="24"/>
              </w:rPr>
              <w:t>序号</w:t>
            </w:r>
          </w:p>
        </w:tc>
        <w:tc>
          <w:tcPr>
            <w:tcW w:w="1276" w:type="dxa"/>
            <w:tcMar>
              <w:top w:w="60" w:type="dxa"/>
              <w:left w:w="120" w:type="dxa"/>
              <w:bottom w:w="30" w:type="dxa"/>
              <w:right w:w="120" w:type="dxa"/>
            </w:tcMar>
          </w:tcPr>
          <w:p w14:paraId="64B58F41">
            <w:pPr>
              <w:spacing w:before="120" w:after="120" w:line="360" w:lineRule="auto"/>
              <w:jc w:val="center"/>
              <w:rPr>
                <w:rFonts w:hint="eastAsia" w:ascii="宋体" w:hAnsi="宋体" w:eastAsia="宋体"/>
                <w:sz w:val="24"/>
              </w:rPr>
            </w:pPr>
            <w:r>
              <w:rPr>
                <w:rFonts w:ascii="宋体" w:hAnsi="宋体" w:eastAsia="宋体" w:cs="Arial"/>
                <w:sz w:val="24"/>
              </w:rPr>
              <w:t>商品名称</w:t>
            </w:r>
          </w:p>
        </w:tc>
        <w:tc>
          <w:tcPr>
            <w:tcW w:w="1275" w:type="dxa"/>
            <w:tcMar>
              <w:top w:w="60" w:type="dxa"/>
              <w:left w:w="120" w:type="dxa"/>
              <w:bottom w:w="30" w:type="dxa"/>
              <w:right w:w="120" w:type="dxa"/>
            </w:tcMar>
          </w:tcPr>
          <w:p w14:paraId="24459A0A">
            <w:pPr>
              <w:spacing w:before="120" w:after="120" w:line="360" w:lineRule="auto"/>
              <w:jc w:val="center"/>
              <w:rPr>
                <w:rFonts w:hint="eastAsia" w:ascii="宋体" w:hAnsi="宋体" w:eastAsia="宋体"/>
                <w:sz w:val="24"/>
              </w:rPr>
            </w:pPr>
            <w:r>
              <w:rPr>
                <w:rFonts w:ascii="宋体" w:hAnsi="宋体" w:eastAsia="宋体" w:cs="Arial"/>
                <w:sz w:val="24"/>
              </w:rPr>
              <w:t>规格型号</w:t>
            </w:r>
          </w:p>
        </w:tc>
        <w:tc>
          <w:tcPr>
            <w:tcW w:w="1185" w:type="dxa"/>
            <w:tcMar>
              <w:top w:w="60" w:type="dxa"/>
              <w:left w:w="120" w:type="dxa"/>
              <w:bottom w:w="30" w:type="dxa"/>
              <w:right w:w="120" w:type="dxa"/>
            </w:tcMar>
          </w:tcPr>
          <w:p w14:paraId="1D333AEA">
            <w:pPr>
              <w:spacing w:before="120" w:after="120" w:line="360" w:lineRule="auto"/>
              <w:jc w:val="center"/>
              <w:rPr>
                <w:rFonts w:hint="eastAsia" w:ascii="宋体" w:hAnsi="宋体" w:eastAsia="宋体"/>
                <w:sz w:val="24"/>
              </w:rPr>
            </w:pPr>
            <w:r>
              <w:rPr>
                <w:rFonts w:ascii="宋体" w:hAnsi="宋体" w:eastAsia="宋体" w:cs="Arial"/>
                <w:sz w:val="24"/>
              </w:rPr>
              <w:t>单位</w:t>
            </w:r>
          </w:p>
        </w:tc>
        <w:tc>
          <w:tcPr>
            <w:tcW w:w="1497" w:type="dxa"/>
            <w:tcMar>
              <w:top w:w="60" w:type="dxa"/>
              <w:left w:w="120" w:type="dxa"/>
              <w:bottom w:w="30" w:type="dxa"/>
              <w:right w:w="120" w:type="dxa"/>
            </w:tcMar>
          </w:tcPr>
          <w:p w14:paraId="5167EF36">
            <w:pPr>
              <w:spacing w:before="120" w:after="120" w:line="360" w:lineRule="auto"/>
              <w:jc w:val="center"/>
              <w:rPr>
                <w:rFonts w:hint="eastAsia" w:ascii="宋体" w:hAnsi="宋体" w:eastAsia="宋体"/>
                <w:sz w:val="24"/>
              </w:rPr>
            </w:pPr>
            <w:r>
              <w:rPr>
                <w:rFonts w:ascii="宋体" w:hAnsi="宋体" w:eastAsia="宋体" w:cs="Arial"/>
                <w:sz w:val="24"/>
              </w:rPr>
              <w:t>样板数量</w:t>
            </w:r>
          </w:p>
        </w:tc>
        <w:tc>
          <w:tcPr>
            <w:tcW w:w="2280" w:type="dxa"/>
            <w:tcMar>
              <w:top w:w="60" w:type="dxa"/>
              <w:left w:w="120" w:type="dxa"/>
              <w:bottom w:w="30" w:type="dxa"/>
              <w:right w:w="120" w:type="dxa"/>
            </w:tcMar>
          </w:tcPr>
          <w:p w14:paraId="1B50BA0B">
            <w:pPr>
              <w:spacing w:before="120" w:after="120" w:line="360" w:lineRule="auto"/>
              <w:jc w:val="center"/>
              <w:rPr>
                <w:rFonts w:hint="eastAsia" w:ascii="宋体" w:hAnsi="宋体" w:eastAsia="宋体"/>
                <w:sz w:val="24"/>
              </w:rPr>
            </w:pPr>
            <w:r>
              <w:rPr>
                <w:rFonts w:ascii="宋体" w:hAnsi="宋体" w:eastAsia="宋体" w:cs="Arial"/>
                <w:sz w:val="24"/>
              </w:rPr>
              <w:t>是否符合采购要求</w:t>
            </w:r>
          </w:p>
        </w:tc>
        <w:tc>
          <w:tcPr>
            <w:tcW w:w="1185" w:type="dxa"/>
            <w:tcMar>
              <w:top w:w="60" w:type="dxa"/>
              <w:left w:w="120" w:type="dxa"/>
              <w:bottom w:w="30" w:type="dxa"/>
              <w:right w:w="120" w:type="dxa"/>
            </w:tcMar>
          </w:tcPr>
          <w:p w14:paraId="02FE0028">
            <w:pPr>
              <w:spacing w:before="120" w:after="120" w:line="360" w:lineRule="auto"/>
              <w:jc w:val="center"/>
              <w:rPr>
                <w:rFonts w:hint="eastAsia" w:ascii="宋体" w:hAnsi="宋体" w:eastAsia="宋体"/>
                <w:sz w:val="24"/>
              </w:rPr>
            </w:pPr>
            <w:r>
              <w:rPr>
                <w:rFonts w:ascii="宋体" w:hAnsi="宋体" w:eastAsia="宋体" w:cs="Arial"/>
                <w:sz w:val="24"/>
              </w:rPr>
              <w:t>备注</w:t>
            </w:r>
          </w:p>
        </w:tc>
      </w:tr>
      <w:tr w14:paraId="54B8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163BEDB5">
            <w:pPr>
              <w:spacing w:before="120" w:after="120" w:line="360" w:lineRule="auto"/>
              <w:jc w:val="center"/>
              <w:rPr>
                <w:rFonts w:hint="eastAsia" w:ascii="宋体" w:hAnsi="宋体" w:eastAsia="宋体"/>
                <w:sz w:val="24"/>
              </w:rPr>
            </w:pPr>
            <w:r>
              <w:rPr>
                <w:rFonts w:ascii="宋体" w:hAnsi="宋体" w:eastAsia="宋体" w:cs="Arial"/>
                <w:sz w:val="24"/>
              </w:rPr>
              <w:t>1</w:t>
            </w:r>
          </w:p>
        </w:tc>
        <w:tc>
          <w:tcPr>
            <w:tcW w:w="1276" w:type="dxa"/>
            <w:tcMar>
              <w:top w:w="60" w:type="dxa"/>
              <w:left w:w="120" w:type="dxa"/>
              <w:bottom w:w="30" w:type="dxa"/>
              <w:right w:w="120" w:type="dxa"/>
            </w:tcMar>
          </w:tcPr>
          <w:p w14:paraId="141AEBEF">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67D9E59F">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2D4AEEA3">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2EB1AFF1">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71B78A63">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2944F000">
            <w:pPr>
              <w:spacing w:line="360" w:lineRule="auto"/>
              <w:rPr>
                <w:rFonts w:hint="eastAsia" w:ascii="宋体" w:hAnsi="宋体" w:eastAsia="宋体"/>
                <w:sz w:val="24"/>
              </w:rPr>
            </w:pPr>
          </w:p>
        </w:tc>
      </w:tr>
      <w:tr w14:paraId="1161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3352CF4C">
            <w:pPr>
              <w:spacing w:before="120" w:after="120" w:line="360" w:lineRule="auto"/>
              <w:jc w:val="center"/>
              <w:rPr>
                <w:rFonts w:hint="eastAsia" w:ascii="宋体" w:hAnsi="宋体" w:eastAsia="宋体"/>
                <w:sz w:val="24"/>
              </w:rPr>
            </w:pPr>
            <w:r>
              <w:rPr>
                <w:rFonts w:ascii="宋体" w:hAnsi="宋体" w:eastAsia="宋体" w:cs="Arial"/>
                <w:sz w:val="24"/>
              </w:rPr>
              <w:t>2</w:t>
            </w:r>
          </w:p>
        </w:tc>
        <w:tc>
          <w:tcPr>
            <w:tcW w:w="1276" w:type="dxa"/>
            <w:tcMar>
              <w:top w:w="60" w:type="dxa"/>
              <w:left w:w="120" w:type="dxa"/>
              <w:bottom w:w="30" w:type="dxa"/>
              <w:right w:w="120" w:type="dxa"/>
            </w:tcMar>
          </w:tcPr>
          <w:p w14:paraId="0AE75A20">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687923FC">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0A667AC1">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187FE96D">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7E2AAD9F">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4653A15A">
            <w:pPr>
              <w:spacing w:line="360" w:lineRule="auto"/>
              <w:rPr>
                <w:rFonts w:hint="eastAsia" w:ascii="宋体" w:hAnsi="宋体" w:eastAsia="宋体"/>
                <w:sz w:val="24"/>
              </w:rPr>
            </w:pPr>
          </w:p>
        </w:tc>
      </w:tr>
      <w:tr w14:paraId="6CDA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6EE098C1">
            <w:pPr>
              <w:spacing w:before="120" w:after="120" w:line="360" w:lineRule="auto"/>
              <w:jc w:val="center"/>
              <w:rPr>
                <w:rFonts w:hint="eastAsia" w:ascii="宋体" w:hAnsi="宋体" w:eastAsia="宋体"/>
                <w:sz w:val="24"/>
              </w:rPr>
            </w:pPr>
            <w:r>
              <w:rPr>
                <w:rFonts w:ascii="宋体" w:hAnsi="宋体" w:eastAsia="宋体" w:cs="Arial"/>
                <w:sz w:val="24"/>
              </w:rPr>
              <w:t>3</w:t>
            </w:r>
          </w:p>
        </w:tc>
        <w:tc>
          <w:tcPr>
            <w:tcW w:w="1276" w:type="dxa"/>
            <w:tcMar>
              <w:top w:w="60" w:type="dxa"/>
              <w:left w:w="120" w:type="dxa"/>
              <w:bottom w:w="30" w:type="dxa"/>
              <w:right w:w="120" w:type="dxa"/>
            </w:tcMar>
          </w:tcPr>
          <w:p w14:paraId="395104FF">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74397F3A">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5CD2D70B">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1F90AE52">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0C7C33CB">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13DBA879">
            <w:pPr>
              <w:spacing w:line="360" w:lineRule="auto"/>
              <w:rPr>
                <w:rFonts w:hint="eastAsia" w:ascii="宋体" w:hAnsi="宋体" w:eastAsia="宋体"/>
                <w:sz w:val="24"/>
              </w:rPr>
            </w:pPr>
          </w:p>
        </w:tc>
      </w:tr>
      <w:tr w14:paraId="7A1A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24C98D5A">
            <w:pPr>
              <w:spacing w:before="120" w:after="120" w:line="360" w:lineRule="auto"/>
              <w:jc w:val="center"/>
              <w:rPr>
                <w:rFonts w:hint="eastAsia" w:ascii="宋体" w:hAnsi="宋体" w:eastAsia="宋体"/>
                <w:sz w:val="24"/>
              </w:rPr>
            </w:pPr>
            <w:r>
              <w:rPr>
                <w:rFonts w:ascii="宋体" w:hAnsi="宋体" w:eastAsia="宋体" w:cs="Arial"/>
                <w:sz w:val="24"/>
              </w:rPr>
              <w:t>4</w:t>
            </w:r>
          </w:p>
        </w:tc>
        <w:tc>
          <w:tcPr>
            <w:tcW w:w="1276" w:type="dxa"/>
            <w:tcMar>
              <w:top w:w="60" w:type="dxa"/>
              <w:left w:w="120" w:type="dxa"/>
              <w:bottom w:w="30" w:type="dxa"/>
              <w:right w:w="120" w:type="dxa"/>
            </w:tcMar>
          </w:tcPr>
          <w:p w14:paraId="634068DF">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39040F2D">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6BC6F4DB">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4AAC68A6">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53378225">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1388971E">
            <w:pPr>
              <w:spacing w:line="360" w:lineRule="auto"/>
              <w:rPr>
                <w:rFonts w:hint="eastAsia" w:ascii="宋体" w:hAnsi="宋体" w:eastAsia="宋体"/>
                <w:sz w:val="24"/>
              </w:rPr>
            </w:pPr>
          </w:p>
        </w:tc>
      </w:tr>
      <w:tr w14:paraId="67E8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546EAE52">
            <w:pPr>
              <w:spacing w:before="120" w:after="120" w:line="360" w:lineRule="auto"/>
              <w:jc w:val="center"/>
              <w:rPr>
                <w:rFonts w:hint="eastAsia" w:ascii="宋体" w:hAnsi="宋体" w:eastAsia="宋体"/>
                <w:sz w:val="24"/>
              </w:rPr>
            </w:pPr>
            <w:r>
              <w:rPr>
                <w:rFonts w:ascii="宋体" w:hAnsi="宋体" w:eastAsia="宋体" w:cs="Arial"/>
                <w:sz w:val="24"/>
              </w:rPr>
              <w:t>5</w:t>
            </w:r>
          </w:p>
        </w:tc>
        <w:tc>
          <w:tcPr>
            <w:tcW w:w="1276" w:type="dxa"/>
            <w:tcMar>
              <w:top w:w="60" w:type="dxa"/>
              <w:left w:w="120" w:type="dxa"/>
              <w:bottom w:w="30" w:type="dxa"/>
              <w:right w:w="120" w:type="dxa"/>
            </w:tcMar>
          </w:tcPr>
          <w:p w14:paraId="352271E8">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05789D43">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7F35CDDB">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4E274571">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539FD5B1">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35D5D8BE">
            <w:pPr>
              <w:spacing w:line="360" w:lineRule="auto"/>
              <w:rPr>
                <w:rFonts w:hint="eastAsia" w:ascii="宋体" w:hAnsi="宋体" w:eastAsia="宋体"/>
                <w:sz w:val="24"/>
              </w:rPr>
            </w:pPr>
          </w:p>
        </w:tc>
      </w:tr>
      <w:tr w14:paraId="2D2B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68C111B2">
            <w:pPr>
              <w:spacing w:before="120" w:after="120" w:line="360" w:lineRule="auto"/>
              <w:jc w:val="center"/>
              <w:rPr>
                <w:rFonts w:hint="eastAsia" w:ascii="宋体" w:hAnsi="宋体" w:eastAsia="宋体"/>
                <w:sz w:val="24"/>
              </w:rPr>
            </w:pPr>
            <w:r>
              <w:rPr>
                <w:rFonts w:ascii="宋体" w:hAnsi="宋体" w:eastAsia="宋体" w:cs="Arial"/>
                <w:sz w:val="24"/>
              </w:rPr>
              <w:t>6</w:t>
            </w:r>
          </w:p>
        </w:tc>
        <w:tc>
          <w:tcPr>
            <w:tcW w:w="1276" w:type="dxa"/>
            <w:tcMar>
              <w:top w:w="60" w:type="dxa"/>
              <w:left w:w="120" w:type="dxa"/>
              <w:bottom w:w="30" w:type="dxa"/>
              <w:right w:w="120" w:type="dxa"/>
            </w:tcMar>
          </w:tcPr>
          <w:p w14:paraId="51D0D12D">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52F57A52">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2E6286DD">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14DC956B">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6D5CE822">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20425E62">
            <w:pPr>
              <w:spacing w:line="360" w:lineRule="auto"/>
              <w:rPr>
                <w:rFonts w:hint="eastAsia" w:ascii="宋体" w:hAnsi="宋体" w:eastAsia="宋体"/>
                <w:sz w:val="24"/>
              </w:rPr>
            </w:pPr>
          </w:p>
        </w:tc>
      </w:tr>
      <w:tr w14:paraId="7322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7D38F346">
            <w:pPr>
              <w:spacing w:before="120" w:after="120" w:line="360" w:lineRule="auto"/>
              <w:jc w:val="center"/>
              <w:rPr>
                <w:rFonts w:hint="eastAsia" w:ascii="宋体" w:hAnsi="宋体" w:eastAsia="宋体"/>
                <w:sz w:val="24"/>
              </w:rPr>
            </w:pPr>
            <w:r>
              <w:rPr>
                <w:rFonts w:ascii="宋体" w:hAnsi="宋体" w:eastAsia="宋体" w:cs="Arial"/>
                <w:sz w:val="24"/>
              </w:rPr>
              <w:t>7</w:t>
            </w:r>
          </w:p>
        </w:tc>
        <w:tc>
          <w:tcPr>
            <w:tcW w:w="1276" w:type="dxa"/>
            <w:tcMar>
              <w:top w:w="60" w:type="dxa"/>
              <w:left w:w="120" w:type="dxa"/>
              <w:bottom w:w="30" w:type="dxa"/>
              <w:right w:w="120" w:type="dxa"/>
            </w:tcMar>
          </w:tcPr>
          <w:p w14:paraId="0CD9CC47">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1A7E7F69">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01EA9ACB">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20410157">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78DD24CC">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56D98DCF">
            <w:pPr>
              <w:spacing w:line="360" w:lineRule="auto"/>
              <w:rPr>
                <w:rFonts w:hint="eastAsia" w:ascii="宋体" w:hAnsi="宋体" w:eastAsia="宋体"/>
                <w:sz w:val="24"/>
              </w:rPr>
            </w:pPr>
          </w:p>
        </w:tc>
      </w:tr>
      <w:tr w14:paraId="239F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003FEF72">
            <w:pPr>
              <w:spacing w:before="120" w:after="120" w:line="360" w:lineRule="auto"/>
              <w:jc w:val="center"/>
              <w:rPr>
                <w:rFonts w:hint="eastAsia" w:ascii="宋体" w:hAnsi="宋体" w:eastAsia="宋体"/>
                <w:sz w:val="24"/>
              </w:rPr>
            </w:pPr>
            <w:r>
              <w:rPr>
                <w:rFonts w:ascii="宋体" w:hAnsi="宋体" w:eastAsia="宋体" w:cs="Arial"/>
                <w:sz w:val="24"/>
              </w:rPr>
              <w:t>8</w:t>
            </w:r>
          </w:p>
        </w:tc>
        <w:tc>
          <w:tcPr>
            <w:tcW w:w="1276" w:type="dxa"/>
            <w:tcMar>
              <w:top w:w="60" w:type="dxa"/>
              <w:left w:w="120" w:type="dxa"/>
              <w:bottom w:w="30" w:type="dxa"/>
              <w:right w:w="120" w:type="dxa"/>
            </w:tcMar>
          </w:tcPr>
          <w:p w14:paraId="2FD18902">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1481EC18">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574B18D4">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77045B1F">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7D28B9DB">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1E6F01AB">
            <w:pPr>
              <w:spacing w:line="360" w:lineRule="auto"/>
              <w:rPr>
                <w:rFonts w:hint="eastAsia" w:ascii="宋体" w:hAnsi="宋体" w:eastAsia="宋体"/>
                <w:sz w:val="24"/>
              </w:rPr>
            </w:pPr>
          </w:p>
        </w:tc>
      </w:tr>
      <w:tr w14:paraId="2C80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42CA9249">
            <w:pPr>
              <w:spacing w:before="120" w:after="120" w:line="360" w:lineRule="auto"/>
              <w:jc w:val="center"/>
              <w:rPr>
                <w:rFonts w:hint="eastAsia" w:ascii="宋体" w:hAnsi="宋体" w:eastAsia="宋体"/>
                <w:sz w:val="24"/>
              </w:rPr>
            </w:pPr>
            <w:r>
              <w:rPr>
                <w:rFonts w:ascii="宋体" w:hAnsi="宋体" w:eastAsia="宋体" w:cs="Arial"/>
                <w:sz w:val="24"/>
              </w:rPr>
              <w:t>9</w:t>
            </w:r>
          </w:p>
        </w:tc>
        <w:tc>
          <w:tcPr>
            <w:tcW w:w="1276" w:type="dxa"/>
            <w:tcMar>
              <w:top w:w="60" w:type="dxa"/>
              <w:left w:w="120" w:type="dxa"/>
              <w:bottom w:w="30" w:type="dxa"/>
              <w:right w:w="120" w:type="dxa"/>
            </w:tcMar>
          </w:tcPr>
          <w:p w14:paraId="705AD182">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67246402">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7A1D7D43">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585B59B1">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438CB9EF">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08C5EF7A">
            <w:pPr>
              <w:spacing w:line="360" w:lineRule="auto"/>
              <w:rPr>
                <w:rFonts w:hint="eastAsia" w:ascii="宋体" w:hAnsi="宋体" w:eastAsia="宋体"/>
                <w:sz w:val="24"/>
              </w:rPr>
            </w:pPr>
          </w:p>
        </w:tc>
      </w:tr>
      <w:tr w14:paraId="3781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1" w:type="dxa"/>
            <w:tcMar>
              <w:top w:w="60" w:type="dxa"/>
              <w:left w:w="120" w:type="dxa"/>
              <w:bottom w:w="30" w:type="dxa"/>
              <w:right w:w="120" w:type="dxa"/>
            </w:tcMar>
          </w:tcPr>
          <w:p w14:paraId="6530F247">
            <w:pPr>
              <w:spacing w:before="120" w:after="120" w:line="360" w:lineRule="auto"/>
              <w:jc w:val="center"/>
              <w:rPr>
                <w:rFonts w:hint="eastAsia" w:ascii="宋体" w:hAnsi="宋体" w:eastAsia="宋体"/>
                <w:sz w:val="24"/>
              </w:rPr>
            </w:pPr>
            <w:r>
              <w:rPr>
                <w:rFonts w:ascii="宋体" w:hAnsi="宋体" w:eastAsia="宋体" w:cs="Arial"/>
                <w:sz w:val="24"/>
              </w:rPr>
              <w:t>10</w:t>
            </w:r>
          </w:p>
        </w:tc>
        <w:tc>
          <w:tcPr>
            <w:tcW w:w="1276" w:type="dxa"/>
            <w:tcMar>
              <w:top w:w="60" w:type="dxa"/>
              <w:left w:w="120" w:type="dxa"/>
              <w:bottom w:w="30" w:type="dxa"/>
              <w:right w:w="120" w:type="dxa"/>
            </w:tcMar>
          </w:tcPr>
          <w:p w14:paraId="21CB84B5">
            <w:pPr>
              <w:spacing w:line="360" w:lineRule="auto"/>
              <w:rPr>
                <w:rFonts w:hint="eastAsia" w:ascii="宋体" w:hAnsi="宋体" w:eastAsia="宋体"/>
                <w:sz w:val="24"/>
              </w:rPr>
            </w:pPr>
          </w:p>
        </w:tc>
        <w:tc>
          <w:tcPr>
            <w:tcW w:w="1275" w:type="dxa"/>
            <w:tcMar>
              <w:top w:w="60" w:type="dxa"/>
              <w:left w:w="120" w:type="dxa"/>
              <w:bottom w:w="30" w:type="dxa"/>
              <w:right w:w="120" w:type="dxa"/>
            </w:tcMar>
          </w:tcPr>
          <w:p w14:paraId="17AED159">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28A202A6">
            <w:pPr>
              <w:spacing w:line="360" w:lineRule="auto"/>
              <w:rPr>
                <w:rFonts w:hint="eastAsia" w:ascii="宋体" w:hAnsi="宋体" w:eastAsia="宋体"/>
                <w:sz w:val="24"/>
              </w:rPr>
            </w:pPr>
          </w:p>
        </w:tc>
        <w:tc>
          <w:tcPr>
            <w:tcW w:w="1497" w:type="dxa"/>
            <w:tcMar>
              <w:top w:w="60" w:type="dxa"/>
              <w:left w:w="120" w:type="dxa"/>
              <w:bottom w:w="30" w:type="dxa"/>
              <w:right w:w="120" w:type="dxa"/>
            </w:tcMar>
          </w:tcPr>
          <w:p w14:paraId="6A4C606F">
            <w:pPr>
              <w:spacing w:line="360" w:lineRule="auto"/>
              <w:rPr>
                <w:rFonts w:hint="eastAsia" w:ascii="宋体" w:hAnsi="宋体" w:eastAsia="宋体"/>
                <w:sz w:val="24"/>
              </w:rPr>
            </w:pPr>
          </w:p>
        </w:tc>
        <w:tc>
          <w:tcPr>
            <w:tcW w:w="2280" w:type="dxa"/>
            <w:tcMar>
              <w:top w:w="60" w:type="dxa"/>
              <w:left w:w="120" w:type="dxa"/>
              <w:bottom w:w="30" w:type="dxa"/>
              <w:right w:w="120" w:type="dxa"/>
            </w:tcMar>
          </w:tcPr>
          <w:p w14:paraId="0F1C8321">
            <w:pPr>
              <w:spacing w:line="360" w:lineRule="auto"/>
              <w:rPr>
                <w:rFonts w:hint="eastAsia" w:ascii="宋体" w:hAnsi="宋体" w:eastAsia="宋体"/>
                <w:sz w:val="24"/>
              </w:rPr>
            </w:pPr>
          </w:p>
        </w:tc>
        <w:tc>
          <w:tcPr>
            <w:tcW w:w="1185" w:type="dxa"/>
            <w:tcMar>
              <w:top w:w="60" w:type="dxa"/>
              <w:left w:w="120" w:type="dxa"/>
              <w:bottom w:w="30" w:type="dxa"/>
              <w:right w:w="120" w:type="dxa"/>
            </w:tcMar>
          </w:tcPr>
          <w:p w14:paraId="53DF45AE">
            <w:pPr>
              <w:spacing w:line="360" w:lineRule="auto"/>
              <w:rPr>
                <w:rFonts w:hint="eastAsia" w:ascii="宋体" w:hAnsi="宋体" w:eastAsia="宋体"/>
                <w:sz w:val="24"/>
              </w:rPr>
            </w:pPr>
          </w:p>
        </w:tc>
      </w:tr>
    </w:tbl>
    <w:p w14:paraId="6B5CC1DB">
      <w:pPr>
        <w:spacing w:before="120" w:after="120" w:line="360" w:lineRule="auto"/>
        <w:ind w:firstLine="482" w:firstLineChars="200"/>
        <w:rPr>
          <w:rFonts w:hint="eastAsia" w:ascii="宋体" w:hAnsi="宋体" w:eastAsia="宋体"/>
          <w:sz w:val="24"/>
        </w:rPr>
      </w:pPr>
      <w:r>
        <w:rPr>
          <w:rFonts w:hint="eastAsia" w:ascii="宋体" w:hAnsi="宋体" w:eastAsia="宋体" w:cs="Arial"/>
          <w:b/>
          <w:sz w:val="24"/>
        </w:rPr>
        <w:t>样板提交要求</w:t>
      </w:r>
      <w:r>
        <w:rPr>
          <w:rFonts w:ascii="宋体" w:hAnsi="宋体" w:eastAsia="宋体" w:cs="Arial"/>
          <w:sz w:val="24"/>
        </w:rPr>
        <w:t>：</w:t>
      </w:r>
      <w:r>
        <w:rPr>
          <w:rFonts w:hint="eastAsia" w:ascii="宋体" w:hAnsi="宋体" w:eastAsia="宋体" w:cs="Arial"/>
          <w:sz w:val="24"/>
        </w:rPr>
        <w:t>样品递交时间和地点与递交遴选文件的有关要求一致，外包装需做好封口处理；贴标须贴有供应商名称、样品名称、样板规格、保质期等相关信息。所有样品在提交后将不予退回，供应商必须承担提供样品的费用</w:t>
      </w:r>
      <w:r>
        <w:rPr>
          <w:rFonts w:ascii="宋体" w:hAnsi="宋体" w:eastAsia="宋体" w:cs="Arial"/>
          <w:sz w:val="24"/>
        </w:rPr>
        <w:t>。</w:t>
      </w:r>
    </w:p>
    <w:p w14:paraId="6085EADD">
      <w:pPr>
        <w:spacing w:before="120" w:after="120" w:line="360" w:lineRule="auto"/>
        <w:ind w:firstLine="482" w:firstLineChars="200"/>
        <w:rPr>
          <w:rFonts w:hint="eastAsia" w:ascii="宋体" w:hAnsi="宋体" w:eastAsia="宋体"/>
          <w:sz w:val="24"/>
        </w:rPr>
      </w:pPr>
      <w:r>
        <w:rPr>
          <w:rFonts w:ascii="宋体" w:hAnsi="宋体" w:eastAsia="宋体" w:cs="Arial"/>
          <w:b/>
          <w:sz w:val="24"/>
        </w:rPr>
        <w:t>承诺</w:t>
      </w:r>
      <w:r>
        <w:rPr>
          <w:rFonts w:ascii="宋体" w:hAnsi="宋体" w:eastAsia="宋体" w:cs="Arial"/>
          <w:sz w:val="24"/>
        </w:rPr>
        <w:t>：我方所提交的上述样板与实际配送物资一致，若存在不一致，自愿承担一切违约责任。</w:t>
      </w:r>
    </w:p>
    <w:p w14:paraId="0C900751">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供应商（加盖公章）：________________________</w:t>
      </w:r>
    </w:p>
    <w:p w14:paraId="0C75588A">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日    期：____年____月____日</w:t>
      </w:r>
    </w:p>
    <w:p w14:paraId="0CD25CC2">
      <w:pPr>
        <w:spacing w:before="320" w:after="120" w:line="360" w:lineRule="auto"/>
        <w:ind w:firstLine="482" w:firstLineChars="200"/>
        <w:outlineLvl w:val="1"/>
        <w:rPr>
          <w:rFonts w:hint="eastAsia" w:ascii="宋体" w:hAnsi="宋体" w:eastAsia="宋体"/>
          <w:sz w:val="24"/>
        </w:rPr>
      </w:pPr>
      <w:r>
        <w:rPr>
          <w:rFonts w:ascii="宋体" w:hAnsi="宋体" w:eastAsia="宋体" w:cs="Arial"/>
          <w:b/>
          <w:sz w:val="24"/>
        </w:rPr>
        <w:t>附件</w:t>
      </w:r>
      <w:r>
        <w:rPr>
          <w:rFonts w:hint="eastAsia" w:ascii="宋体" w:hAnsi="宋体" w:eastAsia="宋体" w:cs="Arial"/>
          <w:b/>
          <w:sz w:val="24"/>
        </w:rPr>
        <w:t>5</w:t>
      </w:r>
      <w:r>
        <w:rPr>
          <w:rFonts w:ascii="宋体" w:hAnsi="宋体" w:eastAsia="宋体" w:cs="Arial"/>
          <w:b/>
          <w:sz w:val="24"/>
        </w:rPr>
        <w:t xml:space="preserve"> 报价函</w:t>
      </w:r>
    </w:p>
    <w:p w14:paraId="7D3D41E9">
      <w:pPr>
        <w:spacing w:before="120" w:after="120" w:line="360" w:lineRule="auto"/>
        <w:ind w:firstLine="480" w:firstLineChars="200"/>
        <w:rPr>
          <w:rFonts w:hint="eastAsia" w:ascii="宋体" w:hAnsi="宋体" w:eastAsia="宋体"/>
          <w:sz w:val="24"/>
        </w:rPr>
      </w:pPr>
      <w:r>
        <w:rPr>
          <w:rFonts w:ascii="宋体" w:hAnsi="宋体" w:eastAsia="宋体" w:cs="Arial"/>
          <w:sz w:val="24"/>
        </w:rPr>
        <w:t>致：广州中大餐饮管理有限公司</w:t>
      </w:r>
      <w:r>
        <w:rPr>
          <w:rFonts w:hint="eastAsia" w:ascii="宋体" w:hAnsi="宋体" w:eastAsia="宋体" w:cs="Arial"/>
          <w:sz w:val="24"/>
        </w:rPr>
        <w:t>、广州中大康乐园餐饮有限公司</w:t>
      </w:r>
    </w:p>
    <w:p w14:paraId="321673C4">
      <w:pPr>
        <w:spacing w:before="120" w:after="120" w:line="360" w:lineRule="auto"/>
        <w:ind w:firstLine="480" w:firstLineChars="200"/>
        <w:rPr>
          <w:rFonts w:hint="eastAsia" w:ascii="宋体" w:hAnsi="宋体" w:eastAsia="宋体"/>
          <w:sz w:val="24"/>
        </w:rPr>
      </w:pPr>
      <w:r>
        <w:rPr>
          <w:rFonts w:ascii="宋体" w:hAnsi="宋体" w:eastAsia="宋体" w:cs="Arial"/>
          <w:sz w:val="24"/>
        </w:rPr>
        <w:t>我方已仔细研究</w:t>
      </w:r>
      <w:r>
        <w:rPr>
          <w:rFonts w:ascii="宋体" w:hAnsi="宋体" w:eastAsia="宋体" w:cs="Arial"/>
          <w:b/>
          <w:sz w:val="24"/>
        </w:rPr>
        <w:t>中大餐饮、康乐园餐饮2026年端午粽采购项目</w:t>
      </w:r>
      <w:r>
        <w:rPr>
          <w:rFonts w:ascii="宋体" w:hAnsi="宋体" w:eastAsia="宋体" w:cs="Arial"/>
          <w:sz w:val="24"/>
        </w:rPr>
        <w:t>遴选文件全部内容，自愿参与本项目遴选，现郑重报价：</w:t>
      </w:r>
    </w:p>
    <w:p w14:paraId="2264043E">
      <w:pPr>
        <w:numPr>
          <w:ilvl w:val="0"/>
          <w:numId w:val="22"/>
        </w:numPr>
        <w:spacing w:before="120" w:after="120" w:line="360" w:lineRule="auto"/>
        <w:ind w:firstLine="480" w:firstLineChars="200"/>
        <w:rPr>
          <w:rFonts w:hint="eastAsia" w:ascii="宋体" w:hAnsi="宋体" w:eastAsia="宋体"/>
          <w:sz w:val="24"/>
        </w:rPr>
      </w:pPr>
      <w:r>
        <w:rPr>
          <w:rFonts w:ascii="宋体" w:hAnsi="宋体" w:eastAsia="宋体" w:cs="Arial"/>
          <w:sz w:val="24"/>
        </w:rPr>
        <w:t>我方针对</w:t>
      </w:r>
      <w:r>
        <w:rPr>
          <w:rFonts w:hint="eastAsia" w:ascii="宋体" w:hAnsi="宋体" w:eastAsia="宋体" w:cs="Arial"/>
          <w:sz w:val="24"/>
        </w:rPr>
        <w:t>项目</w:t>
      </w:r>
      <w:r>
        <w:rPr>
          <w:rFonts w:ascii="宋体" w:hAnsi="宋体" w:eastAsia="宋体" w:cs="Arial"/>
          <w:sz w:val="24"/>
        </w:rPr>
        <w:t>所有物资的报价为</w:t>
      </w:r>
      <w:r>
        <w:rPr>
          <w:rFonts w:ascii="宋体" w:hAnsi="宋体" w:eastAsia="宋体" w:cs="Arial"/>
          <w:b/>
          <w:sz w:val="24"/>
        </w:rPr>
        <w:t>综合包干价</w:t>
      </w:r>
      <w:r>
        <w:rPr>
          <w:rFonts w:ascii="宋体" w:hAnsi="宋体" w:eastAsia="宋体" w:cs="Arial"/>
          <w:sz w:val="24"/>
        </w:rPr>
        <w:t>，</w:t>
      </w:r>
      <w:r>
        <w:rPr>
          <w:rFonts w:hint="eastAsia" w:ascii="宋体" w:hAnsi="宋体" w:eastAsia="宋体" w:cs="Arial"/>
          <w:sz w:val="24"/>
        </w:rPr>
        <w:t>总金额</w:t>
      </w:r>
      <w:r>
        <w:rPr>
          <w:rFonts w:ascii="宋体" w:hAnsi="宋体" w:eastAsia="宋体" w:cs="Arial"/>
          <w:sz w:val="24"/>
        </w:rPr>
        <w:t>不超过遴选文件限价，具体详见报价清单；</w:t>
      </w:r>
      <w:r>
        <w:rPr>
          <w:rFonts w:hint="eastAsia" w:ascii="宋体" w:hAnsi="宋体" w:eastAsia="宋体" w:cs="Arial"/>
          <w:sz w:val="24"/>
        </w:rPr>
        <w:t>报价清单报价作为采购方供货价定价参考，</w:t>
      </w:r>
      <w:r>
        <w:rPr>
          <w:rFonts w:hint="eastAsia" w:ascii="宋体" w:hAnsi="宋体" w:eastAsia="宋体" w:cs="Arial"/>
          <w:b/>
          <w:bCs/>
          <w:sz w:val="24"/>
        </w:rPr>
        <w:t>合同期内价格固定不调整</w:t>
      </w:r>
      <w:r>
        <w:rPr>
          <w:rFonts w:hint="eastAsia" w:ascii="宋体" w:hAnsi="宋体" w:eastAsia="宋体" w:cs="Arial"/>
          <w:sz w:val="24"/>
        </w:rPr>
        <w:t>，供应商自行承担市场价格波动带来的影响。</w:t>
      </w:r>
    </w:p>
    <w:p w14:paraId="7203706C">
      <w:pPr>
        <w:numPr>
          <w:ilvl w:val="0"/>
          <w:numId w:val="22"/>
        </w:numPr>
        <w:spacing w:before="120" w:after="120" w:line="360" w:lineRule="auto"/>
        <w:ind w:firstLine="480" w:firstLineChars="200"/>
        <w:rPr>
          <w:rFonts w:hint="eastAsia" w:ascii="宋体" w:hAnsi="宋体" w:eastAsia="宋体"/>
          <w:sz w:val="24"/>
        </w:rPr>
      </w:pPr>
      <w:r>
        <w:rPr>
          <w:rFonts w:ascii="宋体" w:hAnsi="宋体" w:eastAsia="宋体" w:cs="Arial"/>
          <w:sz w:val="24"/>
        </w:rPr>
        <w:t>我方承诺按遴选文件要求提供合格物资及配送服务；</w:t>
      </w:r>
    </w:p>
    <w:p w14:paraId="08FCDE64">
      <w:pPr>
        <w:numPr>
          <w:ilvl w:val="0"/>
          <w:numId w:val="22"/>
        </w:numPr>
        <w:spacing w:before="120" w:after="120" w:line="360" w:lineRule="auto"/>
        <w:ind w:firstLine="480" w:firstLineChars="200"/>
        <w:rPr>
          <w:rFonts w:hint="eastAsia" w:ascii="宋体" w:hAnsi="宋体" w:eastAsia="宋体"/>
          <w:sz w:val="24"/>
        </w:rPr>
      </w:pPr>
      <w:r>
        <w:rPr>
          <w:rFonts w:ascii="宋体" w:hAnsi="宋体" w:eastAsia="宋体" w:cs="Arial"/>
          <w:sz w:val="24"/>
        </w:rPr>
        <w:t>我方承诺若中选，按要求严格履行合同义务；</w:t>
      </w:r>
    </w:p>
    <w:p w14:paraId="67EC5F3E">
      <w:pPr>
        <w:numPr>
          <w:ilvl w:val="0"/>
          <w:numId w:val="22"/>
        </w:numPr>
        <w:spacing w:before="120" w:after="120" w:line="360" w:lineRule="auto"/>
        <w:ind w:firstLine="480" w:firstLineChars="200"/>
        <w:rPr>
          <w:rFonts w:hint="eastAsia" w:ascii="宋体" w:hAnsi="宋体" w:eastAsia="宋体"/>
          <w:sz w:val="24"/>
        </w:rPr>
      </w:pPr>
      <w:r>
        <w:rPr>
          <w:rFonts w:ascii="宋体" w:hAnsi="宋体" w:eastAsia="宋体" w:cs="Arial"/>
          <w:sz w:val="24"/>
        </w:rPr>
        <w:t>我方同意遴选文件的所有条款，接受评审办法，若中选，按遴选结果及相关规定签订合同。</w:t>
      </w:r>
    </w:p>
    <w:p w14:paraId="720EC136">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供应商（加盖公章）：________________________</w:t>
      </w:r>
    </w:p>
    <w:p w14:paraId="3B171FD7">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法定代表人/委托代理人（签字）：________________________</w:t>
      </w:r>
    </w:p>
    <w:p w14:paraId="012D5240">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日    期：____年____月____日</w:t>
      </w:r>
    </w:p>
    <w:p w14:paraId="42B91E3E">
      <w:pPr>
        <w:spacing w:before="320" w:after="120" w:line="360" w:lineRule="auto"/>
        <w:ind w:firstLine="482" w:firstLineChars="200"/>
        <w:outlineLvl w:val="1"/>
        <w:rPr>
          <w:rFonts w:hint="eastAsia" w:ascii="宋体" w:hAnsi="宋体" w:eastAsia="宋体"/>
          <w:sz w:val="24"/>
        </w:rPr>
      </w:pPr>
      <w:bookmarkStart w:id="45" w:name="heading_47"/>
      <w:r>
        <w:rPr>
          <w:rFonts w:ascii="宋体" w:hAnsi="宋体" w:eastAsia="宋体" w:cs="Arial"/>
          <w:b/>
          <w:sz w:val="24"/>
        </w:rPr>
        <w:t>附件</w:t>
      </w:r>
      <w:r>
        <w:rPr>
          <w:rFonts w:hint="eastAsia" w:ascii="宋体" w:hAnsi="宋体" w:eastAsia="宋体" w:cs="Arial"/>
          <w:b/>
          <w:sz w:val="24"/>
        </w:rPr>
        <w:t>6</w:t>
      </w:r>
      <w:r>
        <w:rPr>
          <w:rFonts w:ascii="宋体" w:hAnsi="宋体" w:eastAsia="宋体" w:cs="Arial"/>
          <w:b/>
          <w:sz w:val="24"/>
        </w:rPr>
        <w:t xml:space="preserve"> </w:t>
      </w:r>
      <w:r>
        <w:rPr>
          <w:rFonts w:hint="eastAsia" w:ascii="宋体" w:hAnsi="宋体" w:eastAsia="宋体" w:cs="Arial"/>
          <w:b/>
          <w:sz w:val="24"/>
        </w:rPr>
        <w:t>食品安全无违法违规承诺函</w:t>
      </w:r>
    </w:p>
    <w:p w14:paraId="52CA04D1">
      <w:pPr>
        <w:spacing w:before="120" w:after="120" w:line="360" w:lineRule="auto"/>
        <w:ind w:firstLine="480" w:firstLineChars="200"/>
        <w:rPr>
          <w:rFonts w:hint="eastAsia" w:ascii="宋体" w:hAnsi="宋体" w:eastAsia="宋体"/>
          <w:sz w:val="24"/>
        </w:rPr>
      </w:pPr>
      <w:r>
        <w:rPr>
          <w:rFonts w:ascii="宋体" w:hAnsi="宋体" w:eastAsia="宋体" w:cs="Arial"/>
          <w:sz w:val="24"/>
        </w:rPr>
        <w:t>致：广州中大餐饮管理有限公司</w:t>
      </w:r>
      <w:r>
        <w:rPr>
          <w:rFonts w:hint="eastAsia" w:ascii="宋体" w:hAnsi="宋体" w:eastAsia="宋体" w:cs="Arial"/>
          <w:sz w:val="24"/>
        </w:rPr>
        <w:t>、广州中大康乐园餐饮有限公司</w:t>
      </w:r>
    </w:p>
    <w:p w14:paraId="2B27B87E">
      <w:pPr>
        <w:spacing w:before="120" w:after="120" w:line="360" w:lineRule="auto"/>
        <w:ind w:firstLine="480" w:firstLineChars="200"/>
        <w:rPr>
          <w:rFonts w:hint="eastAsia" w:ascii="宋体" w:hAnsi="宋体" w:eastAsia="宋体" w:cs="Arial"/>
          <w:sz w:val="24"/>
        </w:rPr>
      </w:pPr>
      <w:r>
        <w:rPr>
          <w:rFonts w:hint="eastAsia" w:ascii="宋体" w:hAnsi="宋体" w:eastAsia="宋体" w:cs="Arial"/>
          <w:sz w:val="24"/>
        </w:rPr>
        <w:t>本单位__________（供应商名称），统一社会信用代码：__________，现就参与贵单位食材供应相关事宜，郑重承诺如下：</w:t>
      </w:r>
    </w:p>
    <w:p w14:paraId="2DDD8933">
      <w:pPr>
        <w:pStyle w:val="10"/>
        <w:numPr>
          <w:ilvl w:val="3"/>
          <w:numId w:val="21"/>
        </w:numPr>
        <w:spacing w:before="120" w:after="120" w:line="360" w:lineRule="auto"/>
        <w:ind w:left="0" w:firstLine="567" w:firstLineChars="0"/>
        <w:rPr>
          <w:rFonts w:hint="eastAsia" w:ascii="宋体" w:hAnsi="宋体" w:eastAsia="宋体" w:cs="Arial"/>
          <w:sz w:val="24"/>
        </w:rPr>
      </w:pPr>
      <w:r>
        <w:rPr>
          <w:rFonts w:hint="eastAsia" w:ascii="宋体" w:hAnsi="宋体" w:eastAsia="宋体" w:cs="Arial"/>
          <w:sz w:val="24"/>
        </w:rPr>
        <w:t>本单位近 3 年内未发生重大食品安全事故；</w:t>
      </w:r>
    </w:p>
    <w:p w14:paraId="26E531AF">
      <w:pPr>
        <w:pStyle w:val="10"/>
        <w:numPr>
          <w:ilvl w:val="3"/>
          <w:numId w:val="21"/>
        </w:numPr>
        <w:spacing w:before="120" w:after="120" w:line="360" w:lineRule="auto"/>
        <w:ind w:left="0" w:firstLine="567" w:firstLineChars="0"/>
        <w:rPr>
          <w:rFonts w:hint="eastAsia" w:ascii="宋体" w:hAnsi="宋体" w:eastAsia="宋体" w:cs="Arial"/>
          <w:sz w:val="24"/>
        </w:rPr>
      </w:pPr>
      <w:r>
        <w:rPr>
          <w:rFonts w:hint="eastAsia" w:ascii="宋体" w:hAnsi="宋体" w:eastAsia="宋体" w:cs="Arial"/>
          <w:sz w:val="24"/>
        </w:rPr>
        <w:t>近 3 年内无因食品安全问题被市场监督管理部门行政处罚的记录；</w:t>
      </w:r>
    </w:p>
    <w:p w14:paraId="41AFDD57">
      <w:pPr>
        <w:pStyle w:val="10"/>
        <w:numPr>
          <w:ilvl w:val="3"/>
          <w:numId w:val="21"/>
        </w:numPr>
        <w:spacing w:before="120" w:after="120" w:line="360" w:lineRule="auto"/>
        <w:ind w:left="0" w:firstLine="567" w:firstLineChars="0"/>
        <w:rPr>
          <w:rFonts w:hint="eastAsia" w:ascii="宋体" w:hAnsi="宋体" w:eastAsia="宋体" w:cs="Arial"/>
          <w:sz w:val="24"/>
        </w:rPr>
      </w:pPr>
      <w:r>
        <w:rPr>
          <w:rFonts w:hint="eastAsia" w:ascii="宋体" w:hAnsi="宋体" w:eastAsia="宋体" w:cs="Arial"/>
          <w:sz w:val="24"/>
        </w:rPr>
        <w:t>若存在隐瞒、虚报上述情况，或经查实有食品安全事故、行政处罚记录的，本单位自愿接受扣分、否决处理，并承担相应责任。</w:t>
      </w:r>
    </w:p>
    <w:p w14:paraId="12CB397C">
      <w:pPr>
        <w:pStyle w:val="10"/>
        <w:spacing w:before="120" w:after="120" w:line="360" w:lineRule="auto"/>
        <w:ind w:left="567" w:firstLine="0" w:firstLineChars="0"/>
        <w:rPr>
          <w:rFonts w:hint="eastAsia" w:ascii="宋体" w:hAnsi="宋体" w:eastAsia="宋体" w:cs="Arial"/>
          <w:sz w:val="24"/>
        </w:rPr>
      </w:pPr>
      <w:r>
        <w:rPr>
          <w:rFonts w:hint="eastAsia" w:ascii="宋体" w:hAnsi="宋体" w:eastAsia="宋体" w:cs="Arial"/>
          <w:sz w:val="24"/>
        </w:rPr>
        <w:t>特此承诺。</w:t>
      </w:r>
    </w:p>
    <w:p w14:paraId="19690C96">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供应商（加盖公章）：________________________</w:t>
      </w:r>
    </w:p>
    <w:p w14:paraId="6E14955B">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法定代表人/委托代理人（签字）：________________________</w:t>
      </w:r>
    </w:p>
    <w:p w14:paraId="26B2AD1C">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日    期：____年____月____日</w:t>
      </w:r>
    </w:p>
    <w:p w14:paraId="2FA7D820">
      <w:pPr>
        <w:spacing w:before="320" w:after="120" w:line="360" w:lineRule="auto"/>
        <w:ind w:firstLine="482" w:firstLineChars="200"/>
        <w:outlineLvl w:val="1"/>
        <w:rPr>
          <w:rFonts w:hint="eastAsia" w:ascii="宋体" w:hAnsi="宋体" w:eastAsia="宋体" w:cs="Arial"/>
          <w:b/>
          <w:sz w:val="24"/>
        </w:rPr>
      </w:pPr>
      <w:r>
        <w:rPr>
          <w:rFonts w:ascii="宋体" w:hAnsi="宋体" w:eastAsia="宋体" w:cs="Arial"/>
          <w:b/>
          <w:sz w:val="24"/>
        </w:rPr>
        <w:t>附件</w:t>
      </w:r>
      <w:r>
        <w:rPr>
          <w:rFonts w:hint="eastAsia" w:ascii="宋体" w:hAnsi="宋体" w:eastAsia="宋体" w:cs="Arial"/>
          <w:b/>
          <w:sz w:val="24"/>
        </w:rPr>
        <w:t>7</w:t>
      </w:r>
      <w:r>
        <w:rPr>
          <w:rFonts w:ascii="宋体" w:hAnsi="宋体" w:eastAsia="宋体" w:cs="Arial"/>
          <w:b/>
          <w:sz w:val="24"/>
        </w:rPr>
        <w:t xml:space="preserve"> 报价清单</w:t>
      </w:r>
      <w:bookmarkEnd w:id="45"/>
    </w:p>
    <w:p w14:paraId="551B0C01">
      <w:pPr>
        <w:spacing w:before="120" w:after="120" w:line="360" w:lineRule="auto"/>
        <w:ind w:firstLine="480" w:firstLineChars="200"/>
        <w:jc w:val="center"/>
        <w:rPr>
          <w:rFonts w:hint="eastAsia" w:ascii="宋体" w:hAnsi="宋体" w:eastAsia="宋体" w:cs="Arial"/>
          <w:sz w:val="24"/>
        </w:rPr>
      </w:pPr>
      <w:r>
        <w:rPr>
          <w:rFonts w:hint="eastAsia" w:ascii="宋体" w:hAnsi="宋体" w:eastAsia="宋体" w:cs="Arial"/>
          <w:sz w:val="24"/>
        </w:rPr>
        <w:t>中大餐饮、康乐园餐饮2026年端午粽采购项目报价清单</w:t>
      </w:r>
    </w:p>
    <w:tbl>
      <w:tblPr>
        <w:tblStyle w:val="6"/>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1134"/>
        <w:gridCol w:w="1134"/>
        <w:gridCol w:w="2126"/>
        <w:gridCol w:w="1276"/>
        <w:gridCol w:w="992"/>
        <w:gridCol w:w="992"/>
        <w:gridCol w:w="1555"/>
      </w:tblGrid>
      <w:tr w14:paraId="63A6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67" w:type="dxa"/>
            <w:noWrap/>
            <w:vAlign w:val="center"/>
          </w:tcPr>
          <w:p w14:paraId="09A86E0A">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序号</w:t>
            </w:r>
          </w:p>
        </w:tc>
        <w:tc>
          <w:tcPr>
            <w:tcW w:w="1276" w:type="dxa"/>
            <w:noWrap/>
            <w:vAlign w:val="center"/>
          </w:tcPr>
          <w:p w14:paraId="1D9229C9">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品名</w:t>
            </w:r>
          </w:p>
        </w:tc>
        <w:tc>
          <w:tcPr>
            <w:tcW w:w="1134" w:type="dxa"/>
            <w:vAlign w:val="center"/>
          </w:tcPr>
          <w:p w14:paraId="0B59C7AF">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包装形式</w:t>
            </w:r>
          </w:p>
        </w:tc>
        <w:tc>
          <w:tcPr>
            <w:tcW w:w="1134" w:type="dxa"/>
            <w:vAlign w:val="center"/>
          </w:tcPr>
          <w:p w14:paraId="0E4E38E1">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主要配料</w:t>
            </w:r>
          </w:p>
        </w:tc>
        <w:tc>
          <w:tcPr>
            <w:tcW w:w="2126" w:type="dxa"/>
            <w:vAlign w:val="center"/>
          </w:tcPr>
          <w:p w14:paraId="69E8BAF8">
            <w:pPr>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材料含量参考</w:t>
            </w:r>
          </w:p>
        </w:tc>
        <w:tc>
          <w:tcPr>
            <w:tcW w:w="1276" w:type="dxa"/>
            <w:tcBorders>
              <w:top w:val="single" w:color="auto" w:sz="4" w:space="0"/>
              <w:bottom w:val="single" w:color="auto" w:sz="4" w:space="0"/>
              <w:right w:val="single" w:color="auto" w:sz="4" w:space="0"/>
            </w:tcBorders>
            <w:vAlign w:val="center"/>
          </w:tcPr>
          <w:p w14:paraId="2059B4E1">
            <w:pPr>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规格（g）</w:t>
            </w:r>
          </w:p>
        </w:tc>
        <w:tc>
          <w:tcPr>
            <w:tcW w:w="992" w:type="dxa"/>
            <w:tcBorders>
              <w:top w:val="single" w:color="auto" w:sz="4" w:space="0"/>
              <w:left w:val="single" w:color="auto" w:sz="4" w:space="0"/>
              <w:bottom w:val="single" w:color="auto" w:sz="4" w:space="0"/>
              <w:right w:val="single" w:color="auto" w:sz="4" w:space="0"/>
            </w:tcBorders>
            <w:vAlign w:val="center"/>
          </w:tcPr>
          <w:p w14:paraId="2C7CEE16">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szCs w:val="22"/>
                <w14:ligatures w14:val="none"/>
              </w:rPr>
              <w:t>中大预估数量（只）</w:t>
            </w:r>
          </w:p>
        </w:tc>
        <w:tc>
          <w:tcPr>
            <w:tcW w:w="992" w:type="dxa"/>
            <w:vAlign w:val="center"/>
          </w:tcPr>
          <w:p w14:paraId="4FC68D5F">
            <w:pPr>
              <w:widowControl/>
              <w:spacing w:after="0" w:line="240" w:lineRule="exact"/>
              <w:rPr>
                <w:rFonts w:hint="eastAsia" w:ascii="宋体" w:hAnsi="宋体" w:eastAsia="宋体" w:cs="宋体"/>
                <w:b/>
                <w:bCs/>
                <w:color w:val="000000"/>
                <w:kern w:val="0"/>
                <w:szCs w:val="22"/>
                <w14:ligatures w14:val="none"/>
              </w:rPr>
            </w:pPr>
            <w:r>
              <w:rPr>
                <w:rFonts w:hint="eastAsia" w:ascii="宋体" w:hAnsi="宋体" w:eastAsia="宋体" w:cs="宋体"/>
                <w:b/>
                <w:bCs/>
                <w:color w:val="000000"/>
                <w:szCs w:val="22"/>
                <w14:ligatures w14:val="none"/>
              </w:rPr>
              <w:t>康乐园预估数量(只)</w:t>
            </w:r>
          </w:p>
        </w:tc>
        <w:tc>
          <w:tcPr>
            <w:tcW w:w="1555" w:type="dxa"/>
            <w:tcBorders>
              <w:top w:val="single" w:color="auto" w:sz="4" w:space="0"/>
              <w:left w:val="single" w:color="auto" w:sz="4" w:space="0"/>
              <w:bottom w:val="single" w:color="auto" w:sz="4" w:space="0"/>
            </w:tcBorders>
            <w:vAlign w:val="center"/>
          </w:tcPr>
          <w:p w14:paraId="0F2A4504">
            <w:pPr>
              <w:widowControl/>
              <w:spacing w:after="0" w:line="240" w:lineRule="exact"/>
              <w:jc w:val="center"/>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含税单价（元/只）</w:t>
            </w:r>
          </w:p>
        </w:tc>
      </w:tr>
      <w:tr w14:paraId="6E86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noWrap/>
            <w:vAlign w:val="center"/>
          </w:tcPr>
          <w:p w14:paraId="7ED3379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w:t>
            </w:r>
          </w:p>
        </w:tc>
        <w:tc>
          <w:tcPr>
            <w:tcW w:w="1276" w:type="dxa"/>
            <w:tcBorders>
              <w:top w:val="single" w:color="auto" w:sz="4" w:space="0"/>
              <w:left w:val="single" w:color="auto" w:sz="4" w:space="0"/>
              <w:bottom w:val="single" w:color="auto" w:sz="4" w:space="0"/>
              <w:right w:val="single" w:color="auto" w:sz="4" w:space="0"/>
            </w:tcBorders>
            <w:noWrap/>
            <w:vAlign w:val="center"/>
          </w:tcPr>
          <w:p w14:paraId="0809DC6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传统咸肉粽</w:t>
            </w:r>
          </w:p>
        </w:tc>
        <w:tc>
          <w:tcPr>
            <w:tcW w:w="1134" w:type="dxa"/>
            <w:tcBorders>
              <w:top w:val="single" w:color="auto" w:sz="4" w:space="0"/>
              <w:left w:val="nil"/>
              <w:bottom w:val="single" w:color="auto" w:sz="4" w:space="0"/>
              <w:right w:val="single" w:color="auto" w:sz="4" w:space="0"/>
            </w:tcBorders>
            <w:vAlign w:val="center"/>
          </w:tcPr>
          <w:p w14:paraId="7D58346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134" w:type="dxa"/>
            <w:vMerge w:val="restart"/>
            <w:tcBorders>
              <w:top w:val="single" w:color="auto" w:sz="4" w:space="0"/>
              <w:left w:val="single" w:color="auto" w:sz="4" w:space="0"/>
              <w:right w:val="single" w:color="auto" w:sz="4" w:space="0"/>
            </w:tcBorders>
            <w:vAlign w:val="center"/>
          </w:tcPr>
          <w:p w14:paraId="3BDF31F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白糯米、猪肉、绿豆</w:t>
            </w:r>
          </w:p>
        </w:tc>
        <w:tc>
          <w:tcPr>
            <w:tcW w:w="2126" w:type="dxa"/>
            <w:vMerge w:val="restart"/>
            <w:tcBorders>
              <w:top w:val="single" w:color="auto" w:sz="4" w:space="0"/>
              <w:left w:val="nil"/>
              <w:right w:val="single" w:color="auto" w:sz="4" w:space="0"/>
            </w:tcBorders>
            <w:vAlign w:val="center"/>
          </w:tcPr>
          <w:p w14:paraId="7C8D26A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1、猪肉：</w:t>
            </w:r>
          </w:p>
          <w:p w14:paraId="4E109E8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脊膘不少于15g；</w:t>
            </w:r>
          </w:p>
          <w:p w14:paraId="6E9F3E9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后腿肉不少于15g；</w:t>
            </w:r>
          </w:p>
          <w:p w14:paraId="6E312FF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2、绿豆≥12g。</w:t>
            </w:r>
          </w:p>
        </w:tc>
        <w:tc>
          <w:tcPr>
            <w:tcW w:w="1276" w:type="dxa"/>
            <w:tcBorders>
              <w:top w:val="single" w:color="auto" w:sz="4" w:space="0"/>
              <w:left w:val="single" w:color="auto" w:sz="4" w:space="0"/>
              <w:bottom w:val="single" w:color="auto" w:sz="4" w:space="0"/>
              <w:right w:val="single" w:color="auto" w:sz="4" w:space="0"/>
            </w:tcBorders>
            <w:vAlign w:val="center"/>
          </w:tcPr>
          <w:p w14:paraId="700A4CE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5634437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vAlign w:val="center"/>
          </w:tcPr>
          <w:p w14:paraId="2E0CB2C0">
            <w:pPr>
              <w:widowControl/>
              <w:spacing w:after="0" w:line="240" w:lineRule="exact"/>
              <w:jc w:val="center"/>
              <w:rPr>
                <w:rFonts w:hint="eastAsia" w:ascii="宋体" w:hAnsi="宋体" w:eastAsia="宋体" w:cs="宋体"/>
                <w:color w:val="000000"/>
                <w:kern w:val="0"/>
                <w:szCs w:val="22"/>
                <w14:ligatures w14:val="none"/>
              </w:rPr>
            </w:pPr>
            <w:r>
              <w:rPr>
                <w:rFonts w:hint="eastAsia"/>
              </w:rPr>
              <w:t>13000</w:t>
            </w:r>
          </w:p>
        </w:tc>
        <w:tc>
          <w:tcPr>
            <w:tcW w:w="992" w:type="dxa"/>
            <w:vAlign w:val="center"/>
          </w:tcPr>
          <w:p w14:paraId="38324206">
            <w:pPr>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600</w:t>
            </w:r>
          </w:p>
        </w:tc>
        <w:tc>
          <w:tcPr>
            <w:tcW w:w="1555" w:type="dxa"/>
            <w:tcBorders>
              <w:top w:val="single" w:color="auto" w:sz="4" w:space="0"/>
              <w:left w:val="single" w:color="auto" w:sz="4" w:space="0"/>
              <w:bottom w:val="single" w:color="auto" w:sz="4" w:space="0"/>
            </w:tcBorders>
            <w:vAlign w:val="center"/>
          </w:tcPr>
          <w:p w14:paraId="7B1BA496">
            <w:pPr>
              <w:widowControl/>
              <w:spacing w:after="0" w:line="240" w:lineRule="auto"/>
              <w:jc w:val="center"/>
              <w:textAlignment w:val="center"/>
              <w:rPr>
                <w:rFonts w:hint="eastAsia" w:ascii="宋体" w:hAnsi="宋体" w:eastAsia="宋体" w:cs="宋体"/>
                <w:color w:val="000000"/>
                <w:szCs w:val="22"/>
                <w14:ligatures w14:val="none"/>
              </w:rPr>
            </w:pPr>
          </w:p>
        </w:tc>
      </w:tr>
      <w:tr w14:paraId="3D69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noWrap/>
            <w:vAlign w:val="center"/>
          </w:tcPr>
          <w:p w14:paraId="26FFFF1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w:t>
            </w:r>
          </w:p>
        </w:tc>
        <w:tc>
          <w:tcPr>
            <w:tcW w:w="1276" w:type="dxa"/>
            <w:tcBorders>
              <w:top w:val="nil"/>
              <w:left w:val="single" w:color="auto" w:sz="4" w:space="0"/>
              <w:bottom w:val="single" w:color="auto" w:sz="4" w:space="0"/>
              <w:right w:val="single" w:color="auto" w:sz="4" w:space="0"/>
            </w:tcBorders>
            <w:noWrap/>
            <w:vAlign w:val="center"/>
          </w:tcPr>
          <w:p w14:paraId="45E92BC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传统咸肉粽</w:t>
            </w:r>
          </w:p>
        </w:tc>
        <w:tc>
          <w:tcPr>
            <w:tcW w:w="1134" w:type="dxa"/>
            <w:tcBorders>
              <w:top w:val="nil"/>
              <w:left w:val="nil"/>
              <w:bottom w:val="single" w:color="auto" w:sz="4" w:space="0"/>
              <w:right w:val="single" w:color="auto" w:sz="4" w:space="0"/>
            </w:tcBorders>
            <w:vAlign w:val="center"/>
          </w:tcPr>
          <w:p w14:paraId="1D41741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134" w:type="dxa"/>
            <w:vMerge w:val="continue"/>
            <w:tcBorders>
              <w:left w:val="single" w:color="auto" w:sz="4" w:space="0"/>
              <w:bottom w:val="single" w:color="auto" w:sz="4" w:space="0"/>
              <w:right w:val="single" w:color="auto" w:sz="4" w:space="0"/>
            </w:tcBorders>
            <w:vAlign w:val="center"/>
          </w:tcPr>
          <w:p w14:paraId="73108248">
            <w:pPr>
              <w:widowControl/>
              <w:spacing w:after="0" w:line="240" w:lineRule="exact"/>
              <w:jc w:val="center"/>
              <w:rPr>
                <w:rFonts w:hint="eastAsia" w:ascii="宋体" w:hAnsi="宋体" w:eastAsia="宋体" w:cs="宋体"/>
                <w:color w:val="000000"/>
                <w:kern w:val="0"/>
                <w:szCs w:val="22"/>
                <w14:ligatures w14:val="none"/>
              </w:rPr>
            </w:pPr>
          </w:p>
        </w:tc>
        <w:tc>
          <w:tcPr>
            <w:tcW w:w="2126" w:type="dxa"/>
            <w:vMerge w:val="continue"/>
            <w:tcBorders>
              <w:left w:val="nil"/>
              <w:bottom w:val="single" w:color="auto" w:sz="4" w:space="0"/>
              <w:right w:val="single" w:color="auto" w:sz="4" w:space="0"/>
            </w:tcBorders>
            <w:vAlign w:val="center"/>
          </w:tcPr>
          <w:p w14:paraId="5B62E6C3">
            <w:pPr>
              <w:widowControl/>
              <w:spacing w:after="0" w:line="240" w:lineRule="exact"/>
              <w:jc w:val="center"/>
              <w:rPr>
                <w:rFonts w:hint="eastAsia" w:ascii="宋体" w:hAnsi="宋体" w:eastAsia="宋体" w:cs="宋体"/>
                <w:color w:val="000000"/>
                <w:kern w:val="0"/>
                <w:szCs w:val="22"/>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C3BA22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16C9824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vAlign w:val="center"/>
          </w:tcPr>
          <w:p w14:paraId="4B987174">
            <w:pPr>
              <w:widowControl/>
              <w:spacing w:after="0" w:line="240" w:lineRule="exact"/>
              <w:jc w:val="center"/>
              <w:rPr>
                <w:rFonts w:hint="eastAsia" w:ascii="宋体" w:hAnsi="宋体" w:eastAsia="宋体" w:cs="宋体"/>
                <w:color w:val="000000"/>
                <w:kern w:val="0"/>
                <w:szCs w:val="22"/>
                <w14:ligatures w14:val="none"/>
              </w:rPr>
            </w:pPr>
            <w:r>
              <w:rPr>
                <w:rFonts w:hint="eastAsia"/>
              </w:rPr>
              <w:t>13000</w:t>
            </w:r>
          </w:p>
        </w:tc>
        <w:tc>
          <w:tcPr>
            <w:tcW w:w="992" w:type="dxa"/>
            <w:vAlign w:val="center"/>
          </w:tcPr>
          <w:p w14:paraId="324552CC">
            <w:pPr>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300</w:t>
            </w:r>
          </w:p>
        </w:tc>
        <w:tc>
          <w:tcPr>
            <w:tcW w:w="1555" w:type="dxa"/>
            <w:tcBorders>
              <w:top w:val="single" w:color="auto" w:sz="4" w:space="0"/>
              <w:left w:val="single" w:color="auto" w:sz="4" w:space="0"/>
              <w:bottom w:val="single" w:color="auto" w:sz="4" w:space="0"/>
            </w:tcBorders>
            <w:vAlign w:val="center"/>
          </w:tcPr>
          <w:p w14:paraId="288625EA">
            <w:pPr>
              <w:widowControl/>
              <w:spacing w:after="0" w:line="240" w:lineRule="auto"/>
              <w:jc w:val="center"/>
              <w:textAlignment w:val="center"/>
              <w:rPr>
                <w:rFonts w:hint="eastAsia" w:ascii="宋体" w:hAnsi="宋体" w:eastAsia="宋体" w:cs="宋体"/>
                <w:color w:val="000000"/>
                <w:kern w:val="0"/>
                <w:szCs w:val="22"/>
                <w:lang w:bidi="ar"/>
                <w14:ligatures w14:val="none"/>
              </w:rPr>
            </w:pPr>
          </w:p>
        </w:tc>
      </w:tr>
      <w:tr w14:paraId="325B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noWrap/>
            <w:vAlign w:val="center"/>
          </w:tcPr>
          <w:p w14:paraId="0D79CB1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w:t>
            </w:r>
          </w:p>
        </w:tc>
        <w:tc>
          <w:tcPr>
            <w:tcW w:w="1276" w:type="dxa"/>
            <w:tcBorders>
              <w:top w:val="nil"/>
              <w:left w:val="single" w:color="auto" w:sz="4" w:space="0"/>
              <w:bottom w:val="single" w:color="auto" w:sz="4" w:space="0"/>
              <w:right w:val="single" w:color="auto" w:sz="4" w:space="0"/>
            </w:tcBorders>
            <w:noWrap/>
            <w:vAlign w:val="center"/>
          </w:tcPr>
          <w:p w14:paraId="147015F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蛋黄咸肉粽</w:t>
            </w:r>
          </w:p>
        </w:tc>
        <w:tc>
          <w:tcPr>
            <w:tcW w:w="1134" w:type="dxa"/>
            <w:tcBorders>
              <w:top w:val="nil"/>
              <w:left w:val="nil"/>
              <w:bottom w:val="single" w:color="auto" w:sz="4" w:space="0"/>
              <w:right w:val="single" w:color="auto" w:sz="4" w:space="0"/>
            </w:tcBorders>
            <w:vAlign w:val="center"/>
          </w:tcPr>
          <w:p w14:paraId="2B07161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134" w:type="dxa"/>
            <w:vMerge w:val="restart"/>
            <w:tcBorders>
              <w:top w:val="nil"/>
              <w:left w:val="single" w:color="auto" w:sz="4" w:space="0"/>
              <w:right w:val="single" w:color="auto" w:sz="4" w:space="0"/>
            </w:tcBorders>
            <w:vAlign w:val="center"/>
          </w:tcPr>
          <w:p w14:paraId="49E86CF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白糯米、猪肉、绿豆、咸鸭蛋黄</w:t>
            </w:r>
          </w:p>
        </w:tc>
        <w:tc>
          <w:tcPr>
            <w:tcW w:w="2126" w:type="dxa"/>
            <w:vMerge w:val="restart"/>
            <w:tcBorders>
              <w:top w:val="single" w:color="auto" w:sz="4" w:space="0"/>
              <w:left w:val="nil"/>
              <w:right w:val="single" w:color="auto" w:sz="4" w:space="0"/>
            </w:tcBorders>
            <w:vAlign w:val="center"/>
          </w:tcPr>
          <w:p w14:paraId="74AA1BE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 xml:space="preserve">1、猪肉：脊膘不少于15g；后腿肉不少于15g； </w:t>
            </w:r>
          </w:p>
          <w:p w14:paraId="3CFE09C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2、咸鸭蛋黄（整个1开2） ≥12克；</w:t>
            </w:r>
          </w:p>
          <w:p w14:paraId="78CAA1A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3、绿豆≥12g。</w:t>
            </w:r>
          </w:p>
        </w:tc>
        <w:tc>
          <w:tcPr>
            <w:tcW w:w="1276" w:type="dxa"/>
            <w:tcBorders>
              <w:top w:val="single" w:color="auto" w:sz="4" w:space="0"/>
              <w:left w:val="single" w:color="auto" w:sz="4" w:space="0"/>
              <w:bottom w:val="single" w:color="auto" w:sz="4" w:space="0"/>
              <w:right w:val="single" w:color="auto" w:sz="4" w:space="0"/>
            </w:tcBorders>
            <w:vAlign w:val="center"/>
          </w:tcPr>
          <w:p w14:paraId="10A8C65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35CD811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27DF5EBA">
            <w:pPr>
              <w:widowControl/>
              <w:spacing w:after="0" w:line="240" w:lineRule="exact"/>
              <w:jc w:val="center"/>
              <w:rPr>
                <w:rFonts w:hint="eastAsia" w:ascii="宋体" w:hAnsi="宋体" w:eastAsia="宋体" w:cs="宋体"/>
                <w:color w:val="000000"/>
                <w:kern w:val="0"/>
                <w:szCs w:val="22"/>
                <w14:ligatures w14:val="none"/>
              </w:rPr>
            </w:pPr>
            <w:r>
              <w:rPr>
                <w:rFonts w:hint="eastAsia"/>
              </w:rPr>
              <w:t>12000</w:t>
            </w:r>
          </w:p>
        </w:tc>
        <w:tc>
          <w:tcPr>
            <w:tcW w:w="992" w:type="dxa"/>
            <w:vAlign w:val="center"/>
          </w:tcPr>
          <w:p w14:paraId="3F41BE97">
            <w:pPr>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600</w:t>
            </w:r>
          </w:p>
        </w:tc>
        <w:tc>
          <w:tcPr>
            <w:tcW w:w="1555" w:type="dxa"/>
            <w:tcBorders>
              <w:top w:val="single" w:color="auto" w:sz="4" w:space="0"/>
              <w:left w:val="single" w:color="auto" w:sz="4" w:space="0"/>
              <w:bottom w:val="single" w:color="auto" w:sz="4" w:space="0"/>
            </w:tcBorders>
            <w:vAlign w:val="center"/>
          </w:tcPr>
          <w:p w14:paraId="58398976">
            <w:pPr>
              <w:widowControl/>
              <w:spacing w:after="0" w:line="240" w:lineRule="auto"/>
              <w:jc w:val="center"/>
              <w:textAlignment w:val="center"/>
              <w:rPr>
                <w:rFonts w:hint="eastAsia" w:ascii="宋体" w:hAnsi="宋体" w:eastAsia="宋体" w:cs="宋体"/>
                <w:color w:val="000000"/>
                <w:szCs w:val="22"/>
                <w14:ligatures w14:val="none"/>
              </w:rPr>
            </w:pPr>
          </w:p>
        </w:tc>
      </w:tr>
      <w:tr w14:paraId="168D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noWrap/>
            <w:vAlign w:val="center"/>
          </w:tcPr>
          <w:p w14:paraId="73FA67D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4</w:t>
            </w:r>
          </w:p>
        </w:tc>
        <w:tc>
          <w:tcPr>
            <w:tcW w:w="1276" w:type="dxa"/>
            <w:tcBorders>
              <w:top w:val="nil"/>
              <w:left w:val="single" w:color="auto" w:sz="4" w:space="0"/>
              <w:bottom w:val="single" w:color="auto" w:sz="4" w:space="0"/>
              <w:right w:val="single" w:color="auto" w:sz="4" w:space="0"/>
            </w:tcBorders>
            <w:noWrap/>
            <w:vAlign w:val="center"/>
          </w:tcPr>
          <w:p w14:paraId="686E76C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蛋黄咸肉粽</w:t>
            </w:r>
          </w:p>
        </w:tc>
        <w:tc>
          <w:tcPr>
            <w:tcW w:w="1134" w:type="dxa"/>
            <w:tcBorders>
              <w:top w:val="nil"/>
              <w:left w:val="nil"/>
              <w:bottom w:val="single" w:color="auto" w:sz="4" w:space="0"/>
              <w:right w:val="single" w:color="auto" w:sz="4" w:space="0"/>
            </w:tcBorders>
            <w:vAlign w:val="center"/>
          </w:tcPr>
          <w:p w14:paraId="70D06C4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134" w:type="dxa"/>
            <w:vMerge w:val="continue"/>
            <w:tcBorders>
              <w:left w:val="single" w:color="auto" w:sz="4" w:space="0"/>
              <w:bottom w:val="single" w:color="auto" w:sz="4" w:space="0"/>
              <w:right w:val="single" w:color="auto" w:sz="4" w:space="0"/>
            </w:tcBorders>
            <w:vAlign w:val="center"/>
          </w:tcPr>
          <w:p w14:paraId="06D645B9">
            <w:pPr>
              <w:widowControl/>
              <w:spacing w:after="0" w:line="240" w:lineRule="exact"/>
              <w:jc w:val="center"/>
              <w:rPr>
                <w:rFonts w:hint="eastAsia" w:ascii="宋体" w:hAnsi="宋体" w:eastAsia="宋体" w:cs="宋体"/>
                <w:color w:val="000000"/>
                <w:kern w:val="0"/>
                <w:szCs w:val="22"/>
                <w14:ligatures w14:val="none"/>
              </w:rPr>
            </w:pPr>
          </w:p>
        </w:tc>
        <w:tc>
          <w:tcPr>
            <w:tcW w:w="2126" w:type="dxa"/>
            <w:vMerge w:val="continue"/>
            <w:tcBorders>
              <w:left w:val="nil"/>
              <w:bottom w:val="single" w:color="auto" w:sz="4" w:space="0"/>
              <w:right w:val="single" w:color="auto" w:sz="4" w:space="0"/>
            </w:tcBorders>
            <w:vAlign w:val="center"/>
          </w:tcPr>
          <w:p w14:paraId="653D7597">
            <w:pPr>
              <w:widowControl/>
              <w:spacing w:after="0" w:line="240" w:lineRule="exact"/>
              <w:jc w:val="center"/>
              <w:rPr>
                <w:rFonts w:hint="eastAsia" w:ascii="宋体" w:hAnsi="宋体" w:eastAsia="宋体" w:cs="宋体"/>
                <w:color w:val="000000"/>
                <w:kern w:val="0"/>
                <w:szCs w:val="22"/>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1D5023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200g</w:t>
            </w:r>
          </w:p>
          <w:p w14:paraId="63C2C21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nil"/>
              <w:left w:val="single" w:color="auto" w:sz="4" w:space="0"/>
              <w:bottom w:val="single" w:color="auto" w:sz="4" w:space="0"/>
              <w:right w:val="single" w:color="auto" w:sz="4" w:space="0"/>
            </w:tcBorders>
            <w:shd w:val="clear" w:color="000000" w:fill="FFFFFF"/>
            <w:vAlign w:val="center"/>
          </w:tcPr>
          <w:p w14:paraId="419C921F">
            <w:pPr>
              <w:widowControl/>
              <w:spacing w:after="0" w:line="240" w:lineRule="exact"/>
              <w:jc w:val="center"/>
              <w:rPr>
                <w:rFonts w:hint="eastAsia" w:ascii="宋体" w:hAnsi="宋体" w:eastAsia="宋体" w:cs="宋体"/>
                <w:color w:val="000000"/>
                <w:kern w:val="0"/>
                <w:szCs w:val="22"/>
                <w14:ligatures w14:val="none"/>
              </w:rPr>
            </w:pPr>
            <w:r>
              <w:rPr>
                <w:rFonts w:hint="eastAsia"/>
              </w:rPr>
              <w:t>12000</w:t>
            </w:r>
          </w:p>
        </w:tc>
        <w:tc>
          <w:tcPr>
            <w:tcW w:w="992" w:type="dxa"/>
            <w:vAlign w:val="center"/>
          </w:tcPr>
          <w:p w14:paraId="2E9E8EB9">
            <w:pPr>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300</w:t>
            </w:r>
          </w:p>
        </w:tc>
        <w:tc>
          <w:tcPr>
            <w:tcW w:w="1555" w:type="dxa"/>
            <w:tcBorders>
              <w:top w:val="single" w:color="auto" w:sz="4" w:space="0"/>
              <w:left w:val="single" w:color="auto" w:sz="4" w:space="0"/>
              <w:bottom w:val="single" w:color="auto" w:sz="4" w:space="0"/>
            </w:tcBorders>
            <w:vAlign w:val="center"/>
          </w:tcPr>
          <w:p w14:paraId="13D6126C">
            <w:pPr>
              <w:widowControl/>
              <w:spacing w:after="0" w:line="240" w:lineRule="auto"/>
              <w:jc w:val="center"/>
              <w:textAlignment w:val="center"/>
              <w:rPr>
                <w:rFonts w:hint="eastAsia" w:ascii="宋体" w:hAnsi="宋体" w:eastAsia="宋体" w:cs="宋体"/>
                <w:color w:val="000000"/>
                <w:szCs w:val="22"/>
                <w14:ligatures w14:val="none"/>
              </w:rPr>
            </w:pPr>
          </w:p>
        </w:tc>
      </w:tr>
      <w:tr w14:paraId="55BF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noWrap/>
            <w:vAlign w:val="center"/>
          </w:tcPr>
          <w:p w14:paraId="4A2BB85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5</w:t>
            </w:r>
          </w:p>
        </w:tc>
        <w:tc>
          <w:tcPr>
            <w:tcW w:w="1276" w:type="dxa"/>
            <w:tcBorders>
              <w:top w:val="nil"/>
              <w:left w:val="single" w:color="auto" w:sz="4" w:space="0"/>
              <w:bottom w:val="single" w:color="auto" w:sz="4" w:space="0"/>
              <w:right w:val="single" w:color="auto" w:sz="4" w:space="0"/>
            </w:tcBorders>
            <w:noWrap/>
            <w:vAlign w:val="center"/>
          </w:tcPr>
          <w:p w14:paraId="0A4ACB9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豆沙枧水粽</w:t>
            </w:r>
          </w:p>
        </w:tc>
        <w:tc>
          <w:tcPr>
            <w:tcW w:w="1134" w:type="dxa"/>
            <w:tcBorders>
              <w:top w:val="nil"/>
              <w:left w:val="nil"/>
              <w:bottom w:val="single" w:color="auto" w:sz="4" w:space="0"/>
              <w:right w:val="single" w:color="auto" w:sz="4" w:space="0"/>
            </w:tcBorders>
            <w:vAlign w:val="center"/>
          </w:tcPr>
          <w:p w14:paraId="7271940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134" w:type="dxa"/>
            <w:vMerge w:val="restart"/>
            <w:tcBorders>
              <w:top w:val="nil"/>
              <w:left w:val="single" w:color="auto" w:sz="4" w:space="0"/>
              <w:right w:val="single" w:color="auto" w:sz="4" w:space="0"/>
            </w:tcBorders>
            <w:vAlign w:val="center"/>
          </w:tcPr>
          <w:p w14:paraId="0A49D75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白糯米、豆沙馅、枧水(碳酸钾、碳酸钠）</w:t>
            </w:r>
          </w:p>
        </w:tc>
        <w:tc>
          <w:tcPr>
            <w:tcW w:w="2126" w:type="dxa"/>
            <w:vMerge w:val="restart"/>
            <w:tcBorders>
              <w:top w:val="single" w:color="auto" w:sz="4" w:space="0"/>
              <w:left w:val="nil"/>
              <w:right w:val="single" w:color="auto" w:sz="4" w:space="0"/>
            </w:tcBorders>
            <w:vAlign w:val="center"/>
          </w:tcPr>
          <w:p w14:paraId="4DD81BC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豆沙馅料≥15克</w:t>
            </w:r>
          </w:p>
        </w:tc>
        <w:tc>
          <w:tcPr>
            <w:tcW w:w="1276" w:type="dxa"/>
            <w:tcBorders>
              <w:top w:val="single" w:color="auto" w:sz="4" w:space="0"/>
              <w:left w:val="single" w:color="auto" w:sz="4" w:space="0"/>
              <w:bottom w:val="single" w:color="auto" w:sz="4" w:space="0"/>
              <w:right w:val="single" w:color="auto" w:sz="4" w:space="0"/>
            </w:tcBorders>
            <w:vAlign w:val="center"/>
          </w:tcPr>
          <w:p w14:paraId="76AE409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15F19E0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71484809">
            <w:pPr>
              <w:widowControl/>
              <w:spacing w:after="0" w:line="240" w:lineRule="exact"/>
              <w:jc w:val="center"/>
              <w:rPr>
                <w:rFonts w:hint="eastAsia" w:ascii="宋体" w:hAnsi="宋体" w:eastAsia="宋体" w:cs="宋体"/>
                <w:color w:val="000000"/>
                <w:kern w:val="0"/>
                <w:szCs w:val="22"/>
                <w14:ligatures w14:val="none"/>
              </w:rPr>
            </w:pPr>
            <w:r>
              <w:rPr>
                <w:rFonts w:hint="eastAsia"/>
              </w:rPr>
              <w:t>10000</w:t>
            </w:r>
          </w:p>
        </w:tc>
        <w:tc>
          <w:tcPr>
            <w:tcW w:w="992" w:type="dxa"/>
            <w:vAlign w:val="center"/>
          </w:tcPr>
          <w:p w14:paraId="7D0064C5">
            <w:pPr>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350</w:t>
            </w:r>
          </w:p>
        </w:tc>
        <w:tc>
          <w:tcPr>
            <w:tcW w:w="1555" w:type="dxa"/>
            <w:tcBorders>
              <w:top w:val="single" w:color="auto" w:sz="4" w:space="0"/>
              <w:left w:val="single" w:color="auto" w:sz="4" w:space="0"/>
              <w:bottom w:val="single" w:color="auto" w:sz="4" w:space="0"/>
            </w:tcBorders>
            <w:vAlign w:val="center"/>
          </w:tcPr>
          <w:p w14:paraId="1326E22A">
            <w:pPr>
              <w:widowControl/>
              <w:spacing w:after="0" w:line="240" w:lineRule="auto"/>
              <w:jc w:val="center"/>
              <w:textAlignment w:val="center"/>
              <w:rPr>
                <w:rFonts w:hint="eastAsia" w:ascii="宋体" w:hAnsi="宋体" w:eastAsia="宋体" w:cs="宋体"/>
                <w:color w:val="000000"/>
                <w:szCs w:val="22"/>
                <w14:ligatures w14:val="none"/>
              </w:rPr>
            </w:pPr>
          </w:p>
        </w:tc>
      </w:tr>
      <w:tr w14:paraId="66FB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tcBorders>
              <w:bottom w:val="single" w:color="auto" w:sz="4" w:space="0"/>
            </w:tcBorders>
            <w:noWrap/>
            <w:vAlign w:val="center"/>
          </w:tcPr>
          <w:p w14:paraId="1FE82D2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6</w:t>
            </w:r>
          </w:p>
        </w:tc>
        <w:tc>
          <w:tcPr>
            <w:tcW w:w="1276" w:type="dxa"/>
            <w:tcBorders>
              <w:top w:val="nil"/>
              <w:left w:val="single" w:color="auto" w:sz="4" w:space="0"/>
              <w:bottom w:val="single" w:color="auto" w:sz="4" w:space="0"/>
              <w:right w:val="single" w:color="auto" w:sz="4" w:space="0"/>
            </w:tcBorders>
            <w:noWrap/>
            <w:vAlign w:val="center"/>
          </w:tcPr>
          <w:p w14:paraId="2919E50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豆沙枧水粽</w:t>
            </w:r>
          </w:p>
        </w:tc>
        <w:tc>
          <w:tcPr>
            <w:tcW w:w="1134" w:type="dxa"/>
            <w:tcBorders>
              <w:top w:val="nil"/>
              <w:left w:val="nil"/>
              <w:bottom w:val="single" w:color="auto" w:sz="4" w:space="0"/>
              <w:right w:val="single" w:color="auto" w:sz="4" w:space="0"/>
            </w:tcBorders>
            <w:vAlign w:val="center"/>
          </w:tcPr>
          <w:p w14:paraId="6174E50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134" w:type="dxa"/>
            <w:vMerge w:val="continue"/>
            <w:tcBorders>
              <w:left w:val="single" w:color="auto" w:sz="4" w:space="0"/>
              <w:bottom w:val="single" w:color="auto" w:sz="4" w:space="0"/>
              <w:right w:val="single" w:color="auto" w:sz="4" w:space="0"/>
            </w:tcBorders>
            <w:vAlign w:val="center"/>
          </w:tcPr>
          <w:p w14:paraId="5C845946">
            <w:pPr>
              <w:widowControl/>
              <w:spacing w:after="0" w:line="240" w:lineRule="exact"/>
              <w:jc w:val="center"/>
              <w:rPr>
                <w:rFonts w:hint="eastAsia" w:ascii="宋体" w:hAnsi="宋体" w:eastAsia="宋体" w:cs="宋体"/>
                <w:color w:val="000000"/>
                <w:kern w:val="0"/>
                <w:szCs w:val="22"/>
                <w14:ligatures w14:val="none"/>
              </w:rPr>
            </w:pPr>
          </w:p>
        </w:tc>
        <w:tc>
          <w:tcPr>
            <w:tcW w:w="2126" w:type="dxa"/>
            <w:vMerge w:val="continue"/>
            <w:tcBorders>
              <w:left w:val="nil"/>
              <w:bottom w:val="single" w:color="auto" w:sz="4" w:space="0"/>
              <w:right w:val="single" w:color="auto" w:sz="4" w:space="0"/>
            </w:tcBorders>
            <w:vAlign w:val="center"/>
          </w:tcPr>
          <w:p w14:paraId="5C61B0B0">
            <w:pPr>
              <w:widowControl/>
              <w:spacing w:after="0" w:line="240" w:lineRule="exact"/>
              <w:jc w:val="center"/>
              <w:rPr>
                <w:rFonts w:hint="eastAsia" w:ascii="宋体" w:hAnsi="宋体" w:eastAsia="宋体" w:cs="宋体"/>
                <w:color w:val="000000"/>
                <w:kern w:val="0"/>
                <w:szCs w:val="22"/>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AC43D1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4569279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nil"/>
              <w:left w:val="single" w:color="auto" w:sz="4" w:space="0"/>
              <w:bottom w:val="single" w:color="auto" w:sz="4" w:space="0"/>
              <w:right w:val="single" w:color="auto" w:sz="4" w:space="0"/>
            </w:tcBorders>
            <w:shd w:val="clear" w:color="000000" w:fill="FFFFFF"/>
            <w:vAlign w:val="center"/>
          </w:tcPr>
          <w:p w14:paraId="6E20FCE9">
            <w:pPr>
              <w:widowControl/>
              <w:spacing w:after="0" w:line="240" w:lineRule="exact"/>
              <w:jc w:val="center"/>
              <w:rPr>
                <w:rFonts w:hint="eastAsia" w:ascii="宋体" w:hAnsi="宋体" w:eastAsia="宋体" w:cs="宋体"/>
                <w:color w:val="000000"/>
                <w:kern w:val="0"/>
                <w:szCs w:val="22"/>
                <w14:ligatures w14:val="none"/>
              </w:rPr>
            </w:pPr>
            <w:r>
              <w:rPr>
                <w:rFonts w:hint="eastAsia"/>
              </w:rPr>
              <w:t>12000</w:t>
            </w:r>
          </w:p>
        </w:tc>
        <w:tc>
          <w:tcPr>
            <w:tcW w:w="992" w:type="dxa"/>
            <w:tcBorders>
              <w:bottom w:val="single" w:color="auto" w:sz="4" w:space="0"/>
            </w:tcBorders>
            <w:vAlign w:val="center"/>
          </w:tcPr>
          <w:p w14:paraId="029358CE">
            <w:pPr>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350</w:t>
            </w:r>
          </w:p>
        </w:tc>
        <w:tc>
          <w:tcPr>
            <w:tcW w:w="1555" w:type="dxa"/>
            <w:tcBorders>
              <w:top w:val="single" w:color="auto" w:sz="4" w:space="0"/>
              <w:left w:val="single" w:color="auto" w:sz="4" w:space="0"/>
              <w:bottom w:val="single" w:color="auto" w:sz="4" w:space="0"/>
            </w:tcBorders>
            <w:vAlign w:val="center"/>
          </w:tcPr>
          <w:p w14:paraId="69C28883">
            <w:pPr>
              <w:widowControl/>
              <w:spacing w:after="0" w:line="240" w:lineRule="auto"/>
              <w:jc w:val="center"/>
              <w:textAlignment w:val="center"/>
              <w:rPr>
                <w:rFonts w:hint="eastAsia" w:ascii="宋体" w:hAnsi="宋体" w:eastAsia="宋体" w:cs="宋体"/>
                <w:color w:val="000000"/>
                <w:szCs w:val="22"/>
                <w14:ligatures w14:val="none"/>
              </w:rPr>
            </w:pPr>
          </w:p>
        </w:tc>
      </w:tr>
      <w:tr w14:paraId="4D09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6AC65F5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7</w:t>
            </w:r>
          </w:p>
        </w:tc>
        <w:tc>
          <w:tcPr>
            <w:tcW w:w="1276" w:type="dxa"/>
            <w:tcBorders>
              <w:top w:val="single" w:color="auto" w:sz="4" w:space="0"/>
              <w:left w:val="single" w:color="auto" w:sz="4" w:space="0"/>
              <w:bottom w:val="single" w:color="auto" w:sz="4" w:space="0"/>
              <w:right w:val="single" w:color="auto" w:sz="4" w:space="0"/>
            </w:tcBorders>
            <w:noWrap/>
            <w:vAlign w:val="center"/>
          </w:tcPr>
          <w:p w14:paraId="57436298">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桂花蜜枣粽</w:t>
            </w:r>
          </w:p>
        </w:tc>
        <w:tc>
          <w:tcPr>
            <w:tcW w:w="1134" w:type="dxa"/>
            <w:tcBorders>
              <w:top w:val="single" w:color="auto" w:sz="4" w:space="0"/>
              <w:left w:val="single" w:color="auto" w:sz="4" w:space="0"/>
              <w:bottom w:val="single" w:color="auto" w:sz="4" w:space="0"/>
              <w:right w:val="single" w:color="auto" w:sz="4" w:space="0"/>
            </w:tcBorders>
            <w:vAlign w:val="center"/>
          </w:tcPr>
          <w:p w14:paraId="4F2A35A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134" w:type="dxa"/>
            <w:vMerge w:val="restart"/>
            <w:tcBorders>
              <w:top w:val="single" w:color="auto" w:sz="4" w:space="0"/>
              <w:left w:val="single" w:color="auto" w:sz="4" w:space="0"/>
              <w:right w:val="single" w:color="auto" w:sz="4" w:space="0"/>
            </w:tcBorders>
            <w:vAlign w:val="center"/>
          </w:tcPr>
          <w:p w14:paraId="2159896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糯米、桂花、蜜枣、白砂糖、食用植物油</w:t>
            </w:r>
          </w:p>
        </w:tc>
        <w:tc>
          <w:tcPr>
            <w:tcW w:w="2126" w:type="dxa"/>
            <w:vMerge w:val="restart"/>
            <w:tcBorders>
              <w:top w:val="single" w:color="auto" w:sz="4" w:space="0"/>
              <w:left w:val="single" w:color="auto" w:sz="4" w:space="0"/>
              <w:right w:val="single" w:color="auto" w:sz="4" w:space="0"/>
            </w:tcBorders>
            <w:vAlign w:val="center"/>
          </w:tcPr>
          <w:p w14:paraId="02FA3687">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 xml:space="preserve">桂花(≥2%)、蜜枣(≥5%) </w:t>
            </w:r>
          </w:p>
        </w:tc>
        <w:tc>
          <w:tcPr>
            <w:tcW w:w="1276" w:type="dxa"/>
            <w:tcBorders>
              <w:top w:val="single" w:color="auto" w:sz="4" w:space="0"/>
              <w:left w:val="single" w:color="auto" w:sz="4" w:space="0"/>
              <w:bottom w:val="single" w:color="auto" w:sz="4" w:space="0"/>
              <w:right w:val="single" w:color="auto" w:sz="4" w:space="0"/>
            </w:tcBorders>
            <w:vAlign w:val="center"/>
          </w:tcPr>
          <w:p w14:paraId="540A8C4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33B4FC6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4142EBA1">
            <w:pPr>
              <w:widowControl/>
              <w:spacing w:after="0" w:line="240" w:lineRule="exact"/>
              <w:jc w:val="center"/>
              <w:rPr>
                <w:rFonts w:hint="eastAsia" w:ascii="宋体" w:hAnsi="宋体" w:eastAsia="宋体" w:cs="宋体"/>
                <w:color w:val="000000"/>
                <w:kern w:val="0"/>
                <w:szCs w:val="22"/>
                <w14:ligatures w14:val="none"/>
              </w:rPr>
            </w:pPr>
            <w:r>
              <w:rPr>
                <w:rFonts w:hint="eastAsia"/>
              </w:rPr>
              <w:t>4000</w:t>
            </w:r>
          </w:p>
        </w:tc>
        <w:tc>
          <w:tcPr>
            <w:tcW w:w="992" w:type="dxa"/>
            <w:tcBorders>
              <w:top w:val="single" w:color="auto" w:sz="4" w:space="0"/>
              <w:left w:val="single" w:color="auto" w:sz="4" w:space="0"/>
              <w:bottom w:val="single" w:color="auto" w:sz="4" w:space="0"/>
              <w:right w:val="single" w:color="auto" w:sz="4" w:space="0"/>
            </w:tcBorders>
            <w:vAlign w:val="center"/>
          </w:tcPr>
          <w:p w14:paraId="3F5669E3">
            <w:pPr>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tc>
        <w:tc>
          <w:tcPr>
            <w:tcW w:w="1555" w:type="dxa"/>
            <w:tcBorders>
              <w:top w:val="single" w:color="auto" w:sz="4" w:space="0"/>
              <w:left w:val="single" w:color="auto" w:sz="4" w:space="0"/>
              <w:bottom w:val="single" w:color="auto" w:sz="4" w:space="0"/>
            </w:tcBorders>
            <w:vAlign w:val="center"/>
          </w:tcPr>
          <w:p w14:paraId="7129009B">
            <w:pPr>
              <w:widowControl/>
              <w:spacing w:after="0" w:line="240" w:lineRule="auto"/>
              <w:jc w:val="center"/>
              <w:textAlignment w:val="center"/>
              <w:rPr>
                <w:rFonts w:hint="eastAsia" w:ascii="宋体" w:hAnsi="宋体" w:eastAsia="宋体" w:cs="宋体"/>
                <w:color w:val="000000"/>
                <w:kern w:val="0"/>
                <w:szCs w:val="22"/>
                <w:lang w:bidi="ar"/>
                <w14:ligatures w14:val="none"/>
              </w:rPr>
            </w:pPr>
          </w:p>
        </w:tc>
      </w:tr>
      <w:tr w14:paraId="03E5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71C3D73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8</w:t>
            </w:r>
          </w:p>
        </w:tc>
        <w:tc>
          <w:tcPr>
            <w:tcW w:w="1276" w:type="dxa"/>
            <w:tcBorders>
              <w:top w:val="single" w:color="auto" w:sz="4" w:space="0"/>
              <w:left w:val="single" w:color="auto" w:sz="4" w:space="0"/>
              <w:bottom w:val="single" w:color="auto" w:sz="4" w:space="0"/>
              <w:right w:val="single" w:color="auto" w:sz="4" w:space="0"/>
            </w:tcBorders>
            <w:noWrap/>
            <w:vAlign w:val="center"/>
          </w:tcPr>
          <w:p w14:paraId="0123B49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桂花蜜枣粽</w:t>
            </w:r>
          </w:p>
        </w:tc>
        <w:tc>
          <w:tcPr>
            <w:tcW w:w="1134" w:type="dxa"/>
            <w:tcBorders>
              <w:top w:val="single" w:color="auto" w:sz="4" w:space="0"/>
              <w:left w:val="single" w:color="auto" w:sz="4" w:space="0"/>
              <w:bottom w:val="single" w:color="auto" w:sz="4" w:space="0"/>
              <w:right w:val="single" w:color="auto" w:sz="4" w:space="0"/>
            </w:tcBorders>
            <w:vAlign w:val="center"/>
          </w:tcPr>
          <w:p w14:paraId="51D2EE0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134" w:type="dxa"/>
            <w:vMerge w:val="continue"/>
            <w:tcBorders>
              <w:left w:val="single" w:color="auto" w:sz="4" w:space="0"/>
              <w:bottom w:val="single" w:color="auto" w:sz="4" w:space="0"/>
              <w:right w:val="single" w:color="auto" w:sz="4" w:space="0"/>
            </w:tcBorders>
            <w:vAlign w:val="center"/>
          </w:tcPr>
          <w:p w14:paraId="240243BC">
            <w:pPr>
              <w:widowControl/>
              <w:spacing w:after="0" w:line="240" w:lineRule="exact"/>
              <w:jc w:val="center"/>
              <w:rPr>
                <w:rFonts w:hint="eastAsia" w:ascii="宋体" w:hAnsi="宋体" w:eastAsia="宋体" w:cs="宋体"/>
                <w:color w:val="000000"/>
                <w:kern w:val="0"/>
                <w:szCs w:val="22"/>
                <w14:ligatures w14:val="none"/>
              </w:rPr>
            </w:pPr>
          </w:p>
        </w:tc>
        <w:tc>
          <w:tcPr>
            <w:tcW w:w="2126" w:type="dxa"/>
            <w:vMerge w:val="continue"/>
            <w:tcBorders>
              <w:left w:val="single" w:color="auto" w:sz="4" w:space="0"/>
              <w:bottom w:val="single" w:color="auto" w:sz="4" w:space="0"/>
              <w:right w:val="single" w:color="auto" w:sz="4" w:space="0"/>
            </w:tcBorders>
            <w:vAlign w:val="center"/>
          </w:tcPr>
          <w:p w14:paraId="05ED434A">
            <w:pPr>
              <w:widowControl/>
              <w:spacing w:after="0" w:line="240" w:lineRule="exact"/>
              <w:jc w:val="center"/>
              <w:rPr>
                <w:rFonts w:hint="eastAsia" w:ascii="宋体" w:hAnsi="宋体" w:eastAsia="宋体" w:cs="宋体"/>
                <w:color w:val="000000"/>
                <w:kern w:val="0"/>
                <w:szCs w:val="22"/>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A3B260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150g</w:t>
            </w:r>
          </w:p>
          <w:p w14:paraId="4A2DD01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5A944F54">
            <w:pPr>
              <w:widowControl/>
              <w:spacing w:after="0" w:line="240" w:lineRule="exact"/>
              <w:jc w:val="center"/>
              <w:rPr>
                <w:rFonts w:hint="eastAsia" w:ascii="宋体" w:hAnsi="宋体" w:eastAsia="宋体" w:cs="宋体"/>
                <w:color w:val="000000"/>
                <w:kern w:val="0"/>
                <w:szCs w:val="22"/>
                <w14:ligatures w14:val="none"/>
              </w:rPr>
            </w:pPr>
            <w:r>
              <w:rPr>
                <w:rFonts w:hint="eastAsia"/>
              </w:rPr>
              <w:t>6000</w:t>
            </w:r>
          </w:p>
        </w:tc>
        <w:tc>
          <w:tcPr>
            <w:tcW w:w="992" w:type="dxa"/>
            <w:tcBorders>
              <w:top w:val="single" w:color="auto" w:sz="4" w:space="0"/>
              <w:left w:val="single" w:color="auto" w:sz="4" w:space="0"/>
              <w:bottom w:val="single" w:color="auto" w:sz="4" w:space="0"/>
              <w:right w:val="single" w:color="auto" w:sz="4" w:space="0"/>
            </w:tcBorders>
            <w:vAlign w:val="center"/>
          </w:tcPr>
          <w:p w14:paraId="06B42EF9">
            <w:pPr>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tc>
        <w:tc>
          <w:tcPr>
            <w:tcW w:w="1555" w:type="dxa"/>
            <w:tcBorders>
              <w:top w:val="single" w:color="auto" w:sz="4" w:space="0"/>
              <w:left w:val="single" w:color="auto" w:sz="4" w:space="0"/>
              <w:bottom w:val="single" w:color="auto" w:sz="4" w:space="0"/>
            </w:tcBorders>
            <w:vAlign w:val="center"/>
          </w:tcPr>
          <w:p w14:paraId="497AB7AF">
            <w:pPr>
              <w:widowControl/>
              <w:spacing w:after="0" w:line="240" w:lineRule="auto"/>
              <w:jc w:val="center"/>
              <w:textAlignment w:val="center"/>
              <w:rPr>
                <w:rFonts w:hint="eastAsia" w:ascii="宋体" w:hAnsi="宋体" w:eastAsia="宋体" w:cs="宋体"/>
                <w:color w:val="000000"/>
                <w:kern w:val="0"/>
                <w:szCs w:val="22"/>
                <w:lang w:bidi="ar"/>
                <w14:ligatures w14:val="none"/>
              </w:rPr>
            </w:pPr>
          </w:p>
        </w:tc>
      </w:tr>
      <w:tr w14:paraId="755B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1A8693C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9</w:t>
            </w:r>
          </w:p>
        </w:tc>
        <w:tc>
          <w:tcPr>
            <w:tcW w:w="1276" w:type="dxa"/>
            <w:tcBorders>
              <w:top w:val="single" w:color="auto" w:sz="4" w:space="0"/>
              <w:left w:val="single" w:color="auto" w:sz="4" w:space="0"/>
              <w:bottom w:val="single" w:color="auto" w:sz="4" w:space="0"/>
              <w:right w:val="single" w:color="auto" w:sz="4" w:space="0"/>
            </w:tcBorders>
            <w:noWrap/>
            <w:vAlign w:val="center"/>
          </w:tcPr>
          <w:p w14:paraId="37E12F3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瑶柱咸肉粽</w:t>
            </w:r>
          </w:p>
        </w:tc>
        <w:tc>
          <w:tcPr>
            <w:tcW w:w="1134" w:type="dxa"/>
            <w:tcBorders>
              <w:top w:val="single" w:color="auto" w:sz="4" w:space="0"/>
              <w:left w:val="single" w:color="auto" w:sz="4" w:space="0"/>
              <w:bottom w:val="single" w:color="auto" w:sz="4" w:space="0"/>
              <w:right w:val="single" w:color="auto" w:sz="4" w:space="0"/>
            </w:tcBorders>
            <w:vAlign w:val="center"/>
          </w:tcPr>
          <w:p w14:paraId="54DC06C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7FBC41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白糯米、猪肉、绿豆、瑶柱</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309DDBF4">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1、猪肉：</w:t>
            </w:r>
          </w:p>
          <w:p w14:paraId="330BEB5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脊膘不少于15g，</w:t>
            </w:r>
          </w:p>
          <w:p w14:paraId="6B4F6DC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后腿肉不少于15g；</w:t>
            </w:r>
          </w:p>
          <w:p w14:paraId="6134101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2、干瑶柱1粒≥3g；</w:t>
            </w:r>
          </w:p>
          <w:p w14:paraId="255AFCA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3、绿豆≥12g。</w:t>
            </w:r>
          </w:p>
        </w:tc>
        <w:tc>
          <w:tcPr>
            <w:tcW w:w="1276" w:type="dxa"/>
            <w:tcBorders>
              <w:top w:val="single" w:color="auto" w:sz="4" w:space="0"/>
              <w:left w:val="single" w:color="auto" w:sz="4" w:space="0"/>
              <w:bottom w:val="single" w:color="auto" w:sz="4" w:space="0"/>
              <w:right w:val="single" w:color="auto" w:sz="4" w:space="0"/>
            </w:tcBorders>
            <w:vAlign w:val="center"/>
          </w:tcPr>
          <w:p w14:paraId="2E9C7861">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43C2DA8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25477811">
            <w:pPr>
              <w:widowControl/>
              <w:spacing w:after="0" w:line="240" w:lineRule="exact"/>
              <w:jc w:val="center"/>
              <w:rPr>
                <w:rFonts w:hint="eastAsia" w:ascii="宋体" w:hAnsi="宋体" w:eastAsia="宋体" w:cs="宋体"/>
                <w:color w:val="000000"/>
                <w:kern w:val="0"/>
                <w:szCs w:val="22"/>
                <w14:ligatures w14:val="none"/>
              </w:rPr>
            </w:pPr>
            <w:r>
              <w:rPr>
                <w:rFonts w:hint="eastAsia"/>
              </w:rPr>
              <w:t>2000</w:t>
            </w:r>
          </w:p>
        </w:tc>
        <w:tc>
          <w:tcPr>
            <w:tcW w:w="992" w:type="dxa"/>
            <w:tcBorders>
              <w:top w:val="single" w:color="auto" w:sz="4" w:space="0"/>
              <w:left w:val="single" w:color="auto" w:sz="4" w:space="0"/>
              <w:bottom w:val="single" w:color="auto" w:sz="4" w:space="0"/>
              <w:right w:val="single" w:color="auto" w:sz="4" w:space="0"/>
            </w:tcBorders>
            <w:vAlign w:val="center"/>
          </w:tcPr>
          <w:p w14:paraId="41D5EF08">
            <w:pPr>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600</w:t>
            </w:r>
          </w:p>
        </w:tc>
        <w:tc>
          <w:tcPr>
            <w:tcW w:w="1555" w:type="dxa"/>
            <w:tcBorders>
              <w:top w:val="single" w:color="auto" w:sz="4" w:space="0"/>
              <w:left w:val="single" w:color="auto" w:sz="4" w:space="0"/>
              <w:bottom w:val="single" w:color="auto" w:sz="4" w:space="0"/>
            </w:tcBorders>
            <w:vAlign w:val="center"/>
          </w:tcPr>
          <w:p w14:paraId="473FCAFD">
            <w:pPr>
              <w:widowControl/>
              <w:spacing w:after="0" w:line="240" w:lineRule="auto"/>
              <w:jc w:val="center"/>
              <w:textAlignment w:val="center"/>
              <w:rPr>
                <w:rFonts w:hint="eastAsia" w:ascii="宋体" w:hAnsi="宋体" w:eastAsia="宋体" w:cs="宋体"/>
                <w:color w:val="000000"/>
                <w:kern w:val="0"/>
                <w:szCs w:val="22"/>
                <w14:ligatures w14:val="none"/>
              </w:rPr>
            </w:pPr>
          </w:p>
        </w:tc>
      </w:tr>
      <w:tr w14:paraId="756B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477BA920">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w:t>
            </w:r>
          </w:p>
        </w:tc>
        <w:tc>
          <w:tcPr>
            <w:tcW w:w="1276" w:type="dxa"/>
            <w:tcBorders>
              <w:top w:val="single" w:color="auto" w:sz="4" w:space="0"/>
              <w:left w:val="single" w:color="auto" w:sz="4" w:space="0"/>
              <w:bottom w:val="single" w:color="auto" w:sz="4" w:space="0"/>
              <w:right w:val="single" w:color="auto" w:sz="4" w:space="0"/>
            </w:tcBorders>
            <w:noWrap/>
            <w:vAlign w:val="center"/>
          </w:tcPr>
          <w:p w14:paraId="6E140A29">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瑶柱咸肉粽</w:t>
            </w:r>
          </w:p>
        </w:tc>
        <w:tc>
          <w:tcPr>
            <w:tcW w:w="1134" w:type="dxa"/>
            <w:tcBorders>
              <w:top w:val="single" w:color="auto" w:sz="4" w:space="0"/>
              <w:left w:val="single" w:color="auto" w:sz="4" w:space="0"/>
              <w:bottom w:val="single" w:color="auto" w:sz="4" w:space="0"/>
              <w:right w:val="single" w:color="auto" w:sz="4" w:space="0"/>
            </w:tcBorders>
            <w:vAlign w:val="center"/>
          </w:tcPr>
          <w:p w14:paraId="11D6C96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7F9F7E4">
            <w:pPr>
              <w:widowControl/>
              <w:spacing w:after="0" w:line="240" w:lineRule="exact"/>
              <w:jc w:val="center"/>
              <w:rPr>
                <w:rFonts w:hint="eastAsia" w:ascii="宋体" w:hAnsi="宋体" w:eastAsia="宋体" w:cs="宋体"/>
                <w:color w:val="000000"/>
                <w:kern w:val="0"/>
                <w:szCs w:val="22"/>
                <w14:ligatures w14:val="none"/>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4BA7E6DB">
            <w:pPr>
              <w:widowControl/>
              <w:spacing w:after="0" w:line="240" w:lineRule="exact"/>
              <w:jc w:val="center"/>
              <w:rPr>
                <w:rFonts w:hint="eastAsia" w:ascii="宋体" w:hAnsi="宋体" w:eastAsia="宋体" w:cs="宋体"/>
                <w:color w:val="000000"/>
                <w:kern w:val="0"/>
                <w:szCs w:val="22"/>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350314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36805DB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75973FC4">
            <w:pPr>
              <w:widowControl/>
              <w:spacing w:after="0" w:line="240" w:lineRule="exact"/>
              <w:jc w:val="center"/>
              <w:rPr>
                <w:rFonts w:hint="eastAsia" w:ascii="宋体" w:hAnsi="宋体" w:eastAsia="宋体" w:cs="宋体"/>
                <w:color w:val="000000"/>
                <w:kern w:val="0"/>
                <w:szCs w:val="22"/>
                <w14:ligatures w14:val="none"/>
              </w:rPr>
            </w:pPr>
            <w:r>
              <w:rPr>
                <w:rFonts w:hint="eastAsia"/>
              </w:rPr>
              <w:t>3000</w:t>
            </w:r>
          </w:p>
        </w:tc>
        <w:tc>
          <w:tcPr>
            <w:tcW w:w="992" w:type="dxa"/>
            <w:tcBorders>
              <w:top w:val="single" w:color="auto" w:sz="4" w:space="0"/>
              <w:left w:val="single" w:color="auto" w:sz="4" w:space="0"/>
              <w:bottom w:val="single" w:color="auto" w:sz="4" w:space="0"/>
              <w:right w:val="single" w:color="auto" w:sz="4" w:space="0"/>
            </w:tcBorders>
            <w:vAlign w:val="center"/>
          </w:tcPr>
          <w:p w14:paraId="46764BB2">
            <w:pPr>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300</w:t>
            </w:r>
          </w:p>
        </w:tc>
        <w:tc>
          <w:tcPr>
            <w:tcW w:w="1555" w:type="dxa"/>
            <w:tcBorders>
              <w:top w:val="single" w:color="auto" w:sz="4" w:space="0"/>
              <w:left w:val="single" w:color="auto" w:sz="4" w:space="0"/>
              <w:bottom w:val="single" w:color="auto" w:sz="4" w:space="0"/>
            </w:tcBorders>
            <w:vAlign w:val="center"/>
          </w:tcPr>
          <w:p w14:paraId="4342D17E">
            <w:pPr>
              <w:widowControl/>
              <w:spacing w:after="0" w:line="240" w:lineRule="auto"/>
              <w:jc w:val="center"/>
              <w:textAlignment w:val="center"/>
              <w:rPr>
                <w:rFonts w:hint="eastAsia" w:ascii="宋体" w:hAnsi="宋体" w:eastAsia="宋体" w:cs="宋体"/>
                <w:color w:val="000000"/>
                <w:kern w:val="0"/>
                <w:szCs w:val="22"/>
                <w14:ligatures w14:val="none"/>
              </w:rPr>
            </w:pPr>
          </w:p>
        </w:tc>
      </w:tr>
      <w:tr w14:paraId="3B65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3D530AA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11</w:t>
            </w:r>
          </w:p>
        </w:tc>
        <w:tc>
          <w:tcPr>
            <w:tcW w:w="1276" w:type="dxa"/>
            <w:tcBorders>
              <w:top w:val="single" w:color="auto" w:sz="4" w:space="0"/>
              <w:left w:val="single" w:color="auto" w:sz="4" w:space="0"/>
              <w:bottom w:val="single" w:color="auto" w:sz="4" w:space="0"/>
              <w:right w:val="single" w:color="auto" w:sz="4" w:space="0"/>
            </w:tcBorders>
            <w:noWrap/>
            <w:vAlign w:val="center"/>
          </w:tcPr>
          <w:p w14:paraId="35CCFFA3">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精品全料咸肉粽</w:t>
            </w:r>
          </w:p>
        </w:tc>
        <w:tc>
          <w:tcPr>
            <w:tcW w:w="1134" w:type="dxa"/>
            <w:tcBorders>
              <w:top w:val="single" w:color="auto" w:sz="4" w:space="0"/>
              <w:left w:val="single" w:color="auto" w:sz="4" w:space="0"/>
              <w:bottom w:val="single" w:color="auto" w:sz="4" w:space="0"/>
              <w:right w:val="single" w:color="auto" w:sz="4" w:space="0"/>
            </w:tcBorders>
            <w:vAlign w:val="center"/>
          </w:tcPr>
          <w:p w14:paraId="1477EEE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常规包装</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815C45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虾米、瑶柱、蛋黄、腊肠、五花肉、香菇、花生、绿豆</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561A8AC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猪肉(≥15%)、咸鸭蛋黄(≥2%)、小瑶柱(≥1%)、虾米(≥1.5%)、腊肠(≥1.3%)、花生(≥2.5%)</w:t>
            </w:r>
          </w:p>
        </w:tc>
        <w:tc>
          <w:tcPr>
            <w:tcW w:w="1276" w:type="dxa"/>
            <w:tcBorders>
              <w:top w:val="single" w:color="auto" w:sz="4" w:space="0"/>
              <w:left w:val="single" w:color="auto" w:sz="4" w:space="0"/>
              <w:bottom w:val="single" w:color="auto" w:sz="4" w:space="0"/>
              <w:right w:val="single" w:color="auto" w:sz="4" w:space="0"/>
            </w:tcBorders>
            <w:vAlign w:val="center"/>
          </w:tcPr>
          <w:p w14:paraId="534A1B0D">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5CFCB51C">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65BCE8E2">
            <w:pPr>
              <w:widowControl/>
              <w:spacing w:after="0" w:line="240" w:lineRule="exact"/>
              <w:jc w:val="center"/>
              <w:rPr>
                <w:rFonts w:hint="eastAsia" w:ascii="宋体" w:hAnsi="宋体" w:eastAsia="宋体" w:cs="宋体"/>
                <w:color w:val="000000"/>
                <w:kern w:val="0"/>
                <w:szCs w:val="22"/>
                <w14:ligatures w14:val="none"/>
              </w:rPr>
            </w:pPr>
            <w:r>
              <w:rPr>
                <w:rFonts w:hint="eastAsia"/>
              </w:rPr>
              <w:t>1000</w:t>
            </w:r>
          </w:p>
        </w:tc>
        <w:tc>
          <w:tcPr>
            <w:tcW w:w="992" w:type="dxa"/>
            <w:tcBorders>
              <w:top w:val="single" w:color="auto" w:sz="4" w:space="0"/>
              <w:left w:val="single" w:color="auto" w:sz="4" w:space="0"/>
              <w:bottom w:val="single" w:color="auto" w:sz="4" w:space="0"/>
              <w:right w:val="single" w:color="auto" w:sz="4" w:space="0"/>
            </w:tcBorders>
            <w:vAlign w:val="center"/>
          </w:tcPr>
          <w:p w14:paraId="1B3F0DA8">
            <w:pPr>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200</w:t>
            </w:r>
          </w:p>
        </w:tc>
        <w:tc>
          <w:tcPr>
            <w:tcW w:w="1555" w:type="dxa"/>
            <w:tcBorders>
              <w:top w:val="single" w:color="auto" w:sz="4" w:space="0"/>
              <w:left w:val="single" w:color="auto" w:sz="4" w:space="0"/>
              <w:bottom w:val="single" w:color="auto" w:sz="4" w:space="0"/>
            </w:tcBorders>
            <w:vAlign w:val="center"/>
          </w:tcPr>
          <w:p w14:paraId="5CFB9A8E">
            <w:pPr>
              <w:widowControl/>
              <w:spacing w:after="0" w:line="240" w:lineRule="auto"/>
              <w:jc w:val="center"/>
              <w:textAlignment w:val="center"/>
              <w:rPr>
                <w:rFonts w:hint="eastAsia" w:ascii="宋体" w:hAnsi="宋体" w:eastAsia="宋体" w:cs="宋体"/>
                <w:color w:val="000000"/>
                <w:kern w:val="0"/>
                <w:szCs w:val="22"/>
                <w14:ligatures w14:val="none"/>
              </w:rPr>
            </w:pPr>
          </w:p>
        </w:tc>
      </w:tr>
      <w:tr w14:paraId="025F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14:paraId="318CD86A">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12</w:t>
            </w:r>
          </w:p>
        </w:tc>
        <w:tc>
          <w:tcPr>
            <w:tcW w:w="1276" w:type="dxa"/>
            <w:tcBorders>
              <w:top w:val="single" w:color="auto" w:sz="4" w:space="0"/>
              <w:left w:val="single" w:color="auto" w:sz="4" w:space="0"/>
              <w:bottom w:val="single" w:color="auto" w:sz="4" w:space="0"/>
              <w:right w:val="single" w:color="auto" w:sz="4" w:space="0"/>
            </w:tcBorders>
            <w:noWrap/>
            <w:vAlign w:val="center"/>
          </w:tcPr>
          <w:p w14:paraId="03572DF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精品全料咸肉粽</w:t>
            </w:r>
          </w:p>
        </w:tc>
        <w:tc>
          <w:tcPr>
            <w:tcW w:w="1134" w:type="dxa"/>
            <w:tcBorders>
              <w:top w:val="single" w:color="auto" w:sz="4" w:space="0"/>
              <w:left w:val="single" w:color="auto" w:sz="4" w:space="0"/>
              <w:bottom w:val="single" w:color="auto" w:sz="4" w:space="0"/>
              <w:right w:val="single" w:color="auto" w:sz="4" w:space="0"/>
            </w:tcBorders>
            <w:vAlign w:val="center"/>
          </w:tcPr>
          <w:p w14:paraId="428BB6FF">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真空包装</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4F8330D">
            <w:pPr>
              <w:widowControl/>
              <w:spacing w:after="0" w:line="240" w:lineRule="exact"/>
              <w:jc w:val="center"/>
              <w:rPr>
                <w:rFonts w:hint="eastAsia" w:ascii="宋体" w:hAnsi="宋体" w:eastAsia="宋体" w:cs="宋体"/>
                <w:color w:val="000000"/>
                <w:kern w:val="0"/>
                <w:szCs w:val="22"/>
                <w14:ligatures w14:val="none"/>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40CB281B">
            <w:pPr>
              <w:widowControl/>
              <w:spacing w:after="0" w:line="240" w:lineRule="exact"/>
              <w:jc w:val="center"/>
              <w:rPr>
                <w:rFonts w:hint="eastAsia" w:ascii="宋体" w:hAnsi="宋体" w:eastAsia="宋体" w:cs="宋体"/>
                <w:color w:val="000000"/>
                <w:kern w:val="0"/>
                <w:szCs w:val="22"/>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CCE57FE">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220g</w:t>
            </w:r>
          </w:p>
          <w:p w14:paraId="2312905B">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14:paraId="1A38A7D0">
            <w:pPr>
              <w:widowControl/>
              <w:spacing w:after="0" w:line="240" w:lineRule="exact"/>
              <w:jc w:val="center"/>
              <w:rPr>
                <w:rFonts w:hint="eastAsia" w:ascii="宋体" w:hAnsi="宋体" w:eastAsia="宋体" w:cs="宋体"/>
                <w:color w:val="000000"/>
                <w:kern w:val="0"/>
                <w:szCs w:val="22"/>
                <w14:ligatures w14:val="none"/>
              </w:rPr>
            </w:pPr>
            <w:r>
              <w:rPr>
                <w:rFonts w:hint="eastAsia"/>
              </w:rPr>
              <w:t>2000</w:t>
            </w:r>
          </w:p>
        </w:tc>
        <w:tc>
          <w:tcPr>
            <w:tcW w:w="992" w:type="dxa"/>
            <w:tcBorders>
              <w:top w:val="single" w:color="auto" w:sz="4" w:space="0"/>
            </w:tcBorders>
            <w:vAlign w:val="center"/>
          </w:tcPr>
          <w:p w14:paraId="0A8A853F">
            <w:pPr>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tc>
        <w:tc>
          <w:tcPr>
            <w:tcW w:w="1555" w:type="dxa"/>
            <w:tcBorders>
              <w:top w:val="single" w:color="auto" w:sz="4" w:space="0"/>
              <w:left w:val="single" w:color="auto" w:sz="4" w:space="0"/>
              <w:bottom w:val="single" w:color="auto" w:sz="4" w:space="0"/>
            </w:tcBorders>
            <w:vAlign w:val="center"/>
          </w:tcPr>
          <w:p w14:paraId="7F267B94">
            <w:pPr>
              <w:widowControl/>
              <w:spacing w:after="0" w:line="240" w:lineRule="auto"/>
              <w:jc w:val="center"/>
              <w:textAlignment w:val="center"/>
              <w:rPr>
                <w:rFonts w:hint="eastAsia" w:ascii="宋体" w:hAnsi="宋体" w:eastAsia="宋体" w:cs="宋体"/>
                <w:color w:val="000000"/>
                <w:kern w:val="0"/>
                <w:szCs w:val="22"/>
                <w14:ligatures w14:val="none"/>
              </w:rPr>
            </w:pPr>
          </w:p>
        </w:tc>
      </w:tr>
      <w:tr w14:paraId="0E7E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31E3B0E5">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中大餐饮合计（元）：</w:t>
            </w:r>
          </w:p>
        </w:tc>
        <w:tc>
          <w:tcPr>
            <w:tcW w:w="9209" w:type="dxa"/>
            <w:gridSpan w:val="7"/>
            <w:tcBorders>
              <w:top w:val="single" w:color="auto" w:sz="4" w:space="0"/>
              <w:left w:val="single" w:color="auto" w:sz="4" w:space="0"/>
              <w:bottom w:val="single" w:color="auto" w:sz="4" w:space="0"/>
            </w:tcBorders>
            <w:vAlign w:val="center"/>
          </w:tcPr>
          <w:p w14:paraId="07060F1F">
            <w:pPr>
              <w:widowControl/>
              <w:spacing w:after="0" w:line="240" w:lineRule="auto"/>
              <w:jc w:val="center"/>
              <w:textAlignment w:val="center"/>
              <w:rPr>
                <w:rFonts w:hint="eastAsia" w:ascii="宋体" w:hAnsi="宋体" w:eastAsia="宋体" w:cs="宋体"/>
                <w:color w:val="000000"/>
                <w:kern w:val="0"/>
                <w:szCs w:val="22"/>
                <w14:ligatures w14:val="none"/>
              </w:rPr>
            </w:pPr>
          </w:p>
        </w:tc>
      </w:tr>
      <w:tr w14:paraId="4CCF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344361D6">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康乐园餐饮合计（元）：</w:t>
            </w:r>
          </w:p>
        </w:tc>
        <w:tc>
          <w:tcPr>
            <w:tcW w:w="9209" w:type="dxa"/>
            <w:gridSpan w:val="7"/>
            <w:tcBorders>
              <w:top w:val="single" w:color="auto" w:sz="4" w:space="0"/>
              <w:left w:val="single" w:color="auto" w:sz="4" w:space="0"/>
              <w:bottom w:val="single" w:color="auto" w:sz="4" w:space="0"/>
            </w:tcBorders>
            <w:vAlign w:val="center"/>
          </w:tcPr>
          <w:p w14:paraId="180D2EF4">
            <w:pPr>
              <w:widowControl/>
              <w:spacing w:after="0" w:line="240" w:lineRule="auto"/>
              <w:jc w:val="center"/>
              <w:textAlignment w:val="center"/>
              <w:rPr>
                <w:rFonts w:hint="eastAsia" w:ascii="宋体" w:hAnsi="宋体" w:eastAsia="宋体" w:cs="宋体"/>
                <w:color w:val="000000"/>
                <w:kern w:val="0"/>
                <w:szCs w:val="22"/>
                <w14:ligatures w14:val="none"/>
              </w:rPr>
            </w:pPr>
          </w:p>
        </w:tc>
      </w:tr>
      <w:tr w14:paraId="16ED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3CAB9392">
            <w:pPr>
              <w:widowControl/>
              <w:spacing w:after="0" w:line="240" w:lineRule="exact"/>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总金额（中大餐饮、康乐园合计）（元）：</w:t>
            </w:r>
          </w:p>
        </w:tc>
        <w:tc>
          <w:tcPr>
            <w:tcW w:w="9209" w:type="dxa"/>
            <w:gridSpan w:val="7"/>
            <w:tcBorders>
              <w:top w:val="single" w:color="auto" w:sz="4" w:space="0"/>
              <w:left w:val="single" w:color="auto" w:sz="4" w:space="0"/>
              <w:bottom w:val="single" w:color="auto" w:sz="4" w:space="0"/>
            </w:tcBorders>
            <w:vAlign w:val="center"/>
          </w:tcPr>
          <w:p w14:paraId="1D490FBF">
            <w:pPr>
              <w:widowControl/>
              <w:spacing w:after="0" w:line="240" w:lineRule="auto"/>
              <w:jc w:val="center"/>
              <w:textAlignment w:val="center"/>
              <w:rPr>
                <w:rFonts w:hint="eastAsia" w:ascii="宋体" w:hAnsi="宋体" w:eastAsia="宋体" w:cs="宋体"/>
                <w:color w:val="000000"/>
                <w:kern w:val="0"/>
                <w:szCs w:val="22"/>
                <w14:ligatures w14:val="none"/>
              </w:rPr>
            </w:pPr>
          </w:p>
        </w:tc>
      </w:tr>
      <w:tr w14:paraId="763E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43" w:type="dxa"/>
            <w:gridSpan w:val="2"/>
            <w:tcBorders>
              <w:right w:val="single" w:color="auto" w:sz="4" w:space="0"/>
            </w:tcBorders>
            <w:noWrap/>
            <w:vAlign w:val="center"/>
          </w:tcPr>
          <w:p w14:paraId="3F9229FE">
            <w:pPr>
              <w:widowControl/>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最低起订量（只）：</w:t>
            </w:r>
          </w:p>
        </w:tc>
        <w:tc>
          <w:tcPr>
            <w:tcW w:w="9209" w:type="dxa"/>
            <w:gridSpan w:val="7"/>
          </w:tcPr>
          <w:p w14:paraId="6561DBEC">
            <w:pPr>
              <w:widowControl/>
              <w:spacing w:after="0" w:line="240" w:lineRule="exact"/>
              <w:jc w:val="center"/>
              <w:rPr>
                <w:rFonts w:hint="eastAsia" w:ascii="宋体" w:hAnsi="宋体" w:eastAsia="宋体" w:cs="宋体"/>
                <w:b/>
                <w:bCs/>
                <w:color w:val="000000"/>
                <w:kern w:val="0"/>
                <w:szCs w:val="22"/>
                <w14:ligatures w14:val="none"/>
              </w:rPr>
            </w:pPr>
          </w:p>
        </w:tc>
      </w:tr>
      <w:tr w14:paraId="5712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gridSpan w:val="2"/>
            <w:tcBorders>
              <w:right w:val="single" w:color="auto" w:sz="4" w:space="0"/>
            </w:tcBorders>
            <w:noWrap/>
            <w:vAlign w:val="center"/>
          </w:tcPr>
          <w:p w14:paraId="66344EF2">
            <w:pPr>
              <w:widowControl/>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常规包装保质期（天）：</w:t>
            </w:r>
          </w:p>
        </w:tc>
        <w:tc>
          <w:tcPr>
            <w:tcW w:w="9209" w:type="dxa"/>
            <w:gridSpan w:val="7"/>
          </w:tcPr>
          <w:p w14:paraId="7FC581D6">
            <w:pPr>
              <w:widowControl/>
              <w:spacing w:after="0" w:line="240" w:lineRule="exact"/>
              <w:jc w:val="center"/>
              <w:rPr>
                <w:rFonts w:hint="eastAsia" w:ascii="宋体" w:hAnsi="宋体" w:eastAsia="宋体" w:cs="宋体"/>
                <w:b/>
                <w:bCs/>
                <w:color w:val="000000"/>
                <w:kern w:val="0"/>
                <w:szCs w:val="22"/>
                <w14:ligatures w14:val="none"/>
              </w:rPr>
            </w:pPr>
          </w:p>
        </w:tc>
      </w:tr>
      <w:tr w14:paraId="0D65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gridSpan w:val="2"/>
            <w:tcBorders>
              <w:right w:val="single" w:color="auto" w:sz="4" w:space="0"/>
            </w:tcBorders>
            <w:noWrap/>
            <w:vAlign w:val="center"/>
          </w:tcPr>
          <w:p w14:paraId="0C06B002">
            <w:pPr>
              <w:widowControl/>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真空包装保质期（天）：</w:t>
            </w:r>
          </w:p>
        </w:tc>
        <w:tc>
          <w:tcPr>
            <w:tcW w:w="9209" w:type="dxa"/>
            <w:gridSpan w:val="7"/>
          </w:tcPr>
          <w:p w14:paraId="779AEC3A">
            <w:pPr>
              <w:widowControl/>
              <w:spacing w:after="0" w:line="240" w:lineRule="exact"/>
              <w:jc w:val="center"/>
              <w:rPr>
                <w:rFonts w:hint="eastAsia" w:ascii="宋体" w:hAnsi="宋体" w:eastAsia="宋体" w:cs="宋体"/>
                <w:b/>
                <w:bCs/>
                <w:color w:val="000000"/>
                <w:kern w:val="0"/>
                <w:szCs w:val="22"/>
                <w14:ligatures w14:val="none"/>
              </w:rPr>
            </w:pPr>
          </w:p>
        </w:tc>
      </w:tr>
      <w:tr w14:paraId="2BF1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gridSpan w:val="2"/>
            <w:tcBorders>
              <w:right w:val="single" w:color="auto" w:sz="4" w:space="0"/>
            </w:tcBorders>
            <w:noWrap/>
            <w:vAlign w:val="center"/>
          </w:tcPr>
          <w:p w14:paraId="08099D93">
            <w:pPr>
              <w:widowControl/>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到货周期（天）：</w:t>
            </w:r>
          </w:p>
        </w:tc>
        <w:tc>
          <w:tcPr>
            <w:tcW w:w="9209" w:type="dxa"/>
            <w:gridSpan w:val="7"/>
          </w:tcPr>
          <w:p w14:paraId="73EED1BD">
            <w:pPr>
              <w:widowControl/>
              <w:spacing w:after="0" w:line="240" w:lineRule="exact"/>
              <w:jc w:val="center"/>
              <w:rPr>
                <w:rFonts w:hint="eastAsia" w:ascii="宋体" w:hAnsi="宋体" w:eastAsia="宋体" w:cs="宋体"/>
                <w:b/>
                <w:bCs/>
                <w:color w:val="000000"/>
                <w:kern w:val="0"/>
                <w:szCs w:val="22"/>
                <w14:ligatures w14:val="none"/>
              </w:rPr>
            </w:pPr>
          </w:p>
        </w:tc>
      </w:tr>
      <w:tr w14:paraId="1433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gridSpan w:val="2"/>
            <w:tcBorders>
              <w:right w:val="single" w:color="auto" w:sz="4" w:space="0"/>
            </w:tcBorders>
            <w:noWrap/>
            <w:vAlign w:val="center"/>
          </w:tcPr>
          <w:p w14:paraId="5DAAFB61">
            <w:pPr>
              <w:widowControl/>
              <w:spacing w:after="0" w:line="240" w:lineRule="exact"/>
              <w:jc w:val="center"/>
              <w:rPr>
                <w:rFonts w:hint="eastAsia" w:ascii="宋体" w:hAnsi="宋体" w:eastAsia="宋体" w:cs="宋体"/>
                <w:color w:val="000000"/>
                <w:szCs w:val="22"/>
                <w14:ligatures w14:val="none"/>
              </w:rPr>
            </w:pPr>
            <w:r>
              <w:rPr>
                <w:rFonts w:hint="eastAsia" w:ascii="宋体" w:hAnsi="宋体" w:eastAsia="宋体" w:cs="宋体"/>
                <w:color w:val="000000"/>
                <w:szCs w:val="22"/>
                <w14:ligatures w14:val="none"/>
              </w:rPr>
              <w:t>专票税率（%）：</w:t>
            </w:r>
          </w:p>
        </w:tc>
        <w:tc>
          <w:tcPr>
            <w:tcW w:w="9209" w:type="dxa"/>
            <w:gridSpan w:val="7"/>
          </w:tcPr>
          <w:p w14:paraId="037AAC62">
            <w:pPr>
              <w:widowControl/>
              <w:spacing w:after="0" w:line="240" w:lineRule="exact"/>
              <w:jc w:val="center"/>
              <w:rPr>
                <w:rFonts w:hint="eastAsia" w:ascii="宋体" w:hAnsi="宋体" w:eastAsia="宋体" w:cs="宋体"/>
                <w:b/>
                <w:bCs/>
                <w:color w:val="000000"/>
                <w:kern w:val="0"/>
                <w:szCs w:val="22"/>
                <w14:ligatures w14:val="none"/>
              </w:rPr>
            </w:pPr>
          </w:p>
        </w:tc>
      </w:tr>
    </w:tbl>
    <w:p w14:paraId="22613234">
      <w:pPr>
        <w:spacing w:before="120" w:after="120" w:line="360" w:lineRule="auto"/>
        <w:ind w:firstLine="480" w:firstLineChars="200"/>
        <w:rPr>
          <w:rFonts w:hint="eastAsia" w:ascii="宋体" w:hAnsi="宋体" w:eastAsia="宋体" w:cs="Arial"/>
          <w:sz w:val="24"/>
        </w:rPr>
      </w:pPr>
      <w:r>
        <w:rPr>
          <w:rFonts w:hint="eastAsia" w:ascii="宋体" w:hAnsi="宋体" w:eastAsia="宋体" w:cs="Arial"/>
          <w:sz w:val="24"/>
        </w:rPr>
        <w:t>1.</w:t>
      </w:r>
      <w:r>
        <w:rPr>
          <w:rFonts w:hint="eastAsia" w:ascii="宋体" w:hAnsi="宋体" w:eastAsia="宋体" w:cs="Arial"/>
          <w:sz w:val="24"/>
        </w:rPr>
        <w:tab/>
      </w:r>
      <w:r>
        <w:rPr>
          <w:rFonts w:hint="eastAsia" w:ascii="宋体" w:hAnsi="宋体" w:eastAsia="宋体" w:cs="Arial"/>
          <w:sz w:val="24"/>
        </w:rPr>
        <w:t>本遴选项目设最高限价中大餐饮粽子（373,000.00元）、康乐园餐饮粽子（15,000.00元），报价超过最高限价作无效响应处理。供应商应对项目所有的标的物进行报价，不允许只对其中部分内容进行响应。</w:t>
      </w:r>
    </w:p>
    <w:p w14:paraId="05CFAD2A">
      <w:pPr>
        <w:spacing w:before="120" w:after="120" w:line="360" w:lineRule="auto"/>
        <w:ind w:firstLine="480" w:firstLineChars="200"/>
        <w:rPr>
          <w:rFonts w:hint="eastAsia" w:ascii="宋体" w:hAnsi="宋体" w:eastAsia="宋体" w:cs="Arial"/>
          <w:sz w:val="24"/>
        </w:rPr>
      </w:pPr>
      <w:r>
        <w:rPr>
          <w:rFonts w:hint="eastAsia" w:ascii="宋体" w:hAnsi="宋体" w:eastAsia="宋体" w:cs="Arial"/>
          <w:sz w:val="24"/>
        </w:rPr>
        <w:t>2.</w:t>
      </w:r>
      <w:r>
        <w:rPr>
          <w:rFonts w:hint="eastAsia" w:ascii="宋体" w:hAnsi="宋体" w:eastAsia="宋体" w:cs="Arial"/>
          <w:sz w:val="24"/>
        </w:rPr>
        <w:tab/>
      </w:r>
      <w:r>
        <w:rPr>
          <w:rFonts w:hint="eastAsia" w:ascii="宋体" w:hAnsi="宋体" w:eastAsia="宋体" w:cs="Arial"/>
          <w:sz w:val="24"/>
        </w:rPr>
        <w:t>本项目报价不接受低于成本的报价，如参选报价低于最高限价50%的，则供应商需要提供《成本分析说明》及相关证明材料，如遴选小组认为该《成本分析说明》不合理或解析不充分的，则有权否决该供应商的报价。</w:t>
      </w:r>
    </w:p>
    <w:p w14:paraId="0B32E78C">
      <w:pPr>
        <w:spacing w:before="120" w:after="120" w:line="360" w:lineRule="auto"/>
        <w:ind w:firstLine="480" w:firstLineChars="200"/>
        <w:rPr>
          <w:rFonts w:hint="eastAsia" w:ascii="宋体" w:hAnsi="宋体" w:eastAsia="宋体" w:cs="Arial"/>
          <w:sz w:val="24"/>
        </w:rPr>
      </w:pPr>
      <w:r>
        <w:rPr>
          <w:rFonts w:hint="eastAsia" w:ascii="宋体" w:hAnsi="宋体" w:eastAsia="宋体" w:cs="Arial"/>
          <w:sz w:val="24"/>
        </w:rPr>
        <w:t>3.</w:t>
      </w:r>
      <w:r>
        <w:rPr>
          <w:rFonts w:hint="eastAsia" w:ascii="宋体" w:hAnsi="宋体" w:eastAsia="宋体" w:cs="Arial"/>
          <w:sz w:val="24"/>
        </w:rPr>
        <w:tab/>
      </w:r>
      <w:r>
        <w:rPr>
          <w:rFonts w:hint="eastAsia" w:ascii="宋体" w:hAnsi="宋体" w:eastAsia="宋体" w:cs="Arial"/>
          <w:sz w:val="24"/>
        </w:rPr>
        <w:t>材料含量为参考建议，如需调整请增加一列备注说明材料含量；</w:t>
      </w:r>
    </w:p>
    <w:p w14:paraId="3AE99DAE">
      <w:pPr>
        <w:spacing w:before="120" w:after="120" w:line="360" w:lineRule="auto"/>
        <w:ind w:firstLine="480" w:firstLineChars="200"/>
        <w:rPr>
          <w:rFonts w:hint="eastAsia" w:ascii="宋体" w:hAnsi="宋体" w:eastAsia="宋体" w:cs="Arial"/>
          <w:sz w:val="24"/>
        </w:rPr>
      </w:pPr>
      <w:r>
        <w:rPr>
          <w:rFonts w:hint="eastAsia" w:ascii="宋体" w:hAnsi="宋体" w:eastAsia="宋体" w:cs="Arial"/>
          <w:sz w:val="24"/>
        </w:rPr>
        <w:t>4.</w:t>
      </w:r>
      <w:r>
        <w:rPr>
          <w:rFonts w:hint="eastAsia" w:ascii="宋体" w:hAnsi="宋体" w:eastAsia="宋体" w:cs="Arial"/>
          <w:sz w:val="24"/>
        </w:rPr>
        <w:tab/>
      </w:r>
      <w:r>
        <w:rPr>
          <w:rFonts w:hint="eastAsia" w:ascii="宋体" w:hAnsi="宋体" w:eastAsia="宋体" w:cs="Arial"/>
          <w:sz w:val="24"/>
        </w:rPr>
        <w:t>报价包含原材料费、包装费、仓储费、运输费、装卸费、损耗费、税金、配送服务费等一切费用，采购方不另行支付；合同履行期间，除市场物价涨幅超10%并经双方书面确认外，单价不予调整。</w:t>
      </w:r>
    </w:p>
    <w:p w14:paraId="2F53026A">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供应商（加盖公章）：________________________</w:t>
      </w:r>
    </w:p>
    <w:p w14:paraId="1E906D0F">
      <w:pPr>
        <w:spacing w:before="120" w:after="120" w:line="360" w:lineRule="auto"/>
        <w:ind w:firstLine="480" w:firstLineChars="200"/>
        <w:jc w:val="right"/>
        <w:rPr>
          <w:rFonts w:hint="eastAsia" w:ascii="宋体" w:hAnsi="宋体" w:eastAsia="宋体"/>
          <w:sz w:val="24"/>
        </w:rPr>
      </w:pPr>
      <w:r>
        <w:rPr>
          <w:rFonts w:ascii="宋体" w:hAnsi="宋体" w:eastAsia="宋体" w:cs="Arial"/>
          <w:sz w:val="24"/>
        </w:rPr>
        <w:t>日    期：____年____月____日</w:t>
      </w:r>
    </w:p>
    <w:p w14:paraId="25B4960B">
      <w:pPr>
        <w:spacing w:before="120" w:after="120" w:line="360" w:lineRule="auto"/>
        <w:rPr>
          <w:rFonts w:hint="eastAsia" w:ascii="宋体" w:hAnsi="宋体" w:eastAsia="宋体"/>
          <w:sz w:val="24"/>
        </w:rPr>
      </w:pPr>
    </w:p>
    <w:sectPr>
      <w:headerReference r:id="rId6" w:type="default"/>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2067381"/>
    </w:sdtPr>
    <w:sdtContent>
      <w:sdt>
        <w:sdtPr>
          <w:id w:val="1728636285"/>
        </w:sdtPr>
        <w:sdtContent>
          <w:p w14:paraId="05F33079">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D974DE6">
    <w:pPr>
      <w:pStyle w:val="3"/>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C1A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A277A"/>
    <w:multiLevelType w:val="multilevel"/>
    <w:tmpl w:val="031A277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A5926A7"/>
    <w:multiLevelType w:val="multilevel"/>
    <w:tmpl w:val="0A5926A7"/>
    <w:lvl w:ilvl="0" w:tentative="0">
      <w:start w:val="1"/>
      <w:numFmt w:val="japaneseCounting"/>
      <w:lvlText w:val="%1、"/>
      <w:lvlJc w:val="left"/>
      <w:pPr>
        <w:ind w:left="510" w:hanging="510"/>
      </w:pPr>
      <w:rPr>
        <w:rFonts w:hint="default" w:cs="Arial"/>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B6002FA"/>
    <w:multiLevelType w:val="multilevel"/>
    <w:tmpl w:val="0B6002FA"/>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D1B7009"/>
    <w:multiLevelType w:val="multilevel"/>
    <w:tmpl w:val="0D1B7009"/>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3246F0A"/>
    <w:multiLevelType w:val="multilevel"/>
    <w:tmpl w:val="13246F0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B9F57D4"/>
    <w:multiLevelType w:val="multilevel"/>
    <w:tmpl w:val="1B9F57D4"/>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FF62101"/>
    <w:multiLevelType w:val="multilevel"/>
    <w:tmpl w:val="2FF62101"/>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1CB6847"/>
    <w:multiLevelType w:val="multilevel"/>
    <w:tmpl w:val="31CB6847"/>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BFF5699"/>
    <w:multiLevelType w:val="multilevel"/>
    <w:tmpl w:val="3BFF5699"/>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6ED3999"/>
    <w:multiLevelType w:val="multilevel"/>
    <w:tmpl w:val="46ED3999"/>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4B97FB0"/>
    <w:multiLevelType w:val="multilevel"/>
    <w:tmpl w:val="54B97F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82F5BD8"/>
    <w:multiLevelType w:val="multilevel"/>
    <w:tmpl w:val="582F5BD8"/>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B44130F"/>
    <w:multiLevelType w:val="multilevel"/>
    <w:tmpl w:val="5B44130F"/>
    <w:lvl w:ilvl="0" w:tentative="0">
      <w:start w:val="1"/>
      <w:numFmt w:val="decimal"/>
      <w:lvlText w:val="%1."/>
      <w:lvlJc w:val="left"/>
      <w:rPr>
        <w:b w:val="0"/>
        <w:bCs/>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EE961D1"/>
    <w:multiLevelType w:val="multilevel"/>
    <w:tmpl w:val="5EE961D1"/>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5F24431C"/>
    <w:multiLevelType w:val="multilevel"/>
    <w:tmpl w:val="5F24431C"/>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4E738B3"/>
    <w:multiLevelType w:val="multilevel"/>
    <w:tmpl w:val="64E738B3"/>
    <w:lvl w:ilvl="0" w:tentative="0">
      <w:start w:val="1"/>
      <w:numFmt w:val="decimal"/>
      <w:lvlText w:val="%1."/>
      <w:lvlJc w:val="left"/>
      <w:rPr>
        <w:color w:val="000000" w:themeColor="text1"/>
        <w14:textFill>
          <w14:solidFill>
            <w14:schemeClr w14:val="tx1"/>
          </w14:solidFill>
        </w14:textFil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E4F2EA1"/>
    <w:multiLevelType w:val="multilevel"/>
    <w:tmpl w:val="6E4F2EA1"/>
    <w:lvl w:ilvl="0" w:tentative="0">
      <w:start w:val="1"/>
      <w:numFmt w:val="japaneseCounting"/>
      <w:lvlText w:val="%1、"/>
      <w:lvlJc w:val="left"/>
      <w:pPr>
        <w:ind w:left="510" w:hanging="510"/>
      </w:pPr>
      <w:rPr>
        <w:rFonts w:hint="default" w:cs="Arial"/>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E88337A"/>
    <w:multiLevelType w:val="multilevel"/>
    <w:tmpl w:val="6E88337A"/>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EE64B7D"/>
    <w:multiLevelType w:val="multilevel"/>
    <w:tmpl w:val="6EE64B7D"/>
    <w:lvl w:ilvl="0" w:tentative="0">
      <w:start w:val="1"/>
      <w:numFmt w:val="japaneseCounting"/>
      <w:lvlText w:val="%1、"/>
      <w:lvlJc w:val="left"/>
      <w:pPr>
        <w:ind w:left="510" w:hanging="510"/>
      </w:pPr>
      <w:rPr>
        <w:rFonts w:hint="default" w:cs="Arial"/>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F0B440F"/>
    <w:multiLevelType w:val="multilevel"/>
    <w:tmpl w:val="6F0B440F"/>
    <w:lvl w:ilvl="0" w:tentative="0">
      <w:start w:val="1"/>
      <w:numFmt w:val="japaneseCounting"/>
      <w:lvlText w:val="%1、"/>
      <w:lvlJc w:val="left"/>
      <w:pPr>
        <w:ind w:left="510" w:hanging="510"/>
      </w:pPr>
      <w:rPr>
        <w:rFonts w:hint="default" w:cs="Arial"/>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A4A423B"/>
    <w:multiLevelType w:val="multilevel"/>
    <w:tmpl w:val="7A4A423B"/>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EBD78EA"/>
    <w:multiLevelType w:val="multilevel"/>
    <w:tmpl w:val="7EBD78EA"/>
    <w:lvl w:ilvl="0" w:tentative="0">
      <w:start w:val="1"/>
      <w:numFmt w:val="decimal"/>
      <w:lvlText w:val="%1."/>
      <w:lvlJc w:val="left"/>
      <w:rPr>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9"/>
  </w:num>
  <w:num w:numId="2">
    <w:abstractNumId w:val="12"/>
  </w:num>
  <w:num w:numId="3">
    <w:abstractNumId w:val="15"/>
  </w:num>
  <w:num w:numId="4">
    <w:abstractNumId w:val="2"/>
  </w:num>
  <w:num w:numId="5">
    <w:abstractNumId w:val="0"/>
  </w:num>
  <w:num w:numId="6">
    <w:abstractNumId w:val="14"/>
  </w:num>
  <w:num w:numId="7">
    <w:abstractNumId w:val="18"/>
  </w:num>
  <w:num w:numId="8">
    <w:abstractNumId w:val="17"/>
  </w:num>
  <w:num w:numId="9">
    <w:abstractNumId w:val="13"/>
  </w:num>
  <w:num w:numId="10">
    <w:abstractNumId w:val="11"/>
  </w:num>
  <w:num w:numId="11">
    <w:abstractNumId w:val="5"/>
  </w:num>
  <w:num w:numId="12">
    <w:abstractNumId w:val="7"/>
  </w:num>
  <w:num w:numId="13">
    <w:abstractNumId w:val="16"/>
  </w:num>
  <w:num w:numId="14">
    <w:abstractNumId w:val="3"/>
  </w:num>
  <w:num w:numId="15">
    <w:abstractNumId w:val="6"/>
  </w:num>
  <w:num w:numId="16">
    <w:abstractNumId w:val="8"/>
  </w:num>
  <w:num w:numId="17">
    <w:abstractNumId w:val="1"/>
  </w:num>
  <w:num w:numId="18">
    <w:abstractNumId w:val="21"/>
  </w:num>
  <w:num w:numId="19">
    <w:abstractNumId w:val="9"/>
  </w:num>
  <w:num w:numId="20">
    <w:abstractNumId w:val="4"/>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D9"/>
    <w:rsid w:val="00000FE2"/>
    <w:rsid w:val="00012FC2"/>
    <w:rsid w:val="00021FA4"/>
    <w:rsid w:val="000334F6"/>
    <w:rsid w:val="0003693D"/>
    <w:rsid w:val="000602BF"/>
    <w:rsid w:val="00080723"/>
    <w:rsid w:val="00086E71"/>
    <w:rsid w:val="000E2CAC"/>
    <w:rsid w:val="000E4C30"/>
    <w:rsid w:val="000F1DD2"/>
    <w:rsid w:val="000F39C7"/>
    <w:rsid w:val="000F63EE"/>
    <w:rsid w:val="00105880"/>
    <w:rsid w:val="001063E4"/>
    <w:rsid w:val="00110772"/>
    <w:rsid w:val="0012090E"/>
    <w:rsid w:val="001317F3"/>
    <w:rsid w:val="00177B60"/>
    <w:rsid w:val="001A7AA4"/>
    <w:rsid w:val="001A7AD4"/>
    <w:rsid w:val="001F7A57"/>
    <w:rsid w:val="00212363"/>
    <w:rsid w:val="00213667"/>
    <w:rsid w:val="002148BC"/>
    <w:rsid w:val="00215B1B"/>
    <w:rsid w:val="002205E7"/>
    <w:rsid w:val="00252CFB"/>
    <w:rsid w:val="00266D11"/>
    <w:rsid w:val="0027259D"/>
    <w:rsid w:val="002B3101"/>
    <w:rsid w:val="002E18FD"/>
    <w:rsid w:val="002E2B85"/>
    <w:rsid w:val="00302EC6"/>
    <w:rsid w:val="00322221"/>
    <w:rsid w:val="0032463E"/>
    <w:rsid w:val="00334A4B"/>
    <w:rsid w:val="0035066C"/>
    <w:rsid w:val="00371558"/>
    <w:rsid w:val="00392485"/>
    <w:rsid w:val="003931D8"/>
    <w:rsid w:val="003A3589"/>
    <w:rsid w:val="003A7D23"/>
    <w:rsid w:val="003C1400"/>
    <w:rsid w:val="003D1265"/>
    <w:rsid w:val="003E1362"/>
    <w:rsid w:val="003E6977"/>
    <w:rsid w:val="00407F76"/>
    <w:rsid w:val="00413529"/>
    <w:rsid w:val="00415E7E"/>
    <w:rsid w:val="00425B97"/>
    <w:rsid w:val="00426D2A"/>
    <w:rsid w:val="0044045F"/>
    <w:rsid w:val="00464421"/>
    <w:rsid w:val="00467EE3"/>
    <w:rsid w:val="004876E8"/>
    <w:rsid w:val="004A3CDD"/>
    <w:rsid w:val="004A41BB"/>
    <w:rsid w:val="004D544C"/>
    <w:rsid w:val="004E328B"/>
    <w:rsid w:val="004E70B3"/>
    <w:rsid w:val="004F776C"/>
    <w:rsid w:val="005141A8"/>
    <w:rsid w:val="005311D9"/>
    <w:rsid w:val="005440AC"/>
    <w:rsid w:val="00590898"/>
    <w:rsid w:val="005C2E8F"/>
    <w:rsid w:val="005C47CF"/>
    <w:rsid w:val="005F055F"/>
    <w:rsid w:val="00601359"/>
    <w:rsid w:val="00645A5A"/>
    <w:rsid w:val="00670D58"/>
    <w:rsid w:val="00671DB3"/>
    <w:rsid w:val="006878E3"/>
    <w:rsid w:val="00696BE3"/>
    <w:rsid w:val="006A283C"/>
    <w:rsid w:val="006A6807"/>
    <w:rsid w:val="006B03CB"/>
    <w:rsid w:val="006B715B"/>
    <w:rsid w:val="006C0844"/>
    <w:rsid w:val="006C75A6"/>
    <w:rsid w:val="006E5448"/>
    <w:rsid w:val="006E711F"/>
    <w:rsid w:val="00703CB1"/>
    <w:rsid w:val="00704416"/>
    <w:rsid w:val="00720346"/>
    <w:rsid w:val="00764B76"/>
    <w:rsid w:val="00765574"/>
    <w:rsid w:val="0077194E"/>
    <w:rsid w:val="007757A8"/>
    <w:rsid w:val="00791743"/>
    <w:rsid w:val="007A0DF5"/>
    <w:rsid w:val="007B7757"/>
    <w:rsid w:val="007C2DAF"/>
    <w:rsid w:val="007E6BC0"/>
    <w:rsid w:val="0080354D"/>
    <w:rsid w:val="00834880"/>
    <w:rsid w:val="008428A2"/>
    <w:rsid w:val="00873D51"/>
    <w:rsid w:val="00886703"/>
    <w:rsid w:val="008B2F52"/>
    <w:rsid w:val="008C5C7A"/>
    <w:rsid w:val="008C66E8"/>
    <w:rsid w:val="008C6E51"/>
    <w:rsid w:val="008C713F"/>
    <w:rsid w:val="008E770F"/>
    <w:rsid w:val="009057A9"/>
    <w:rsid w:val="00917F1D"/>
    <w:rsid w:val="00936DCD"/>
    <w:rsid w:val="00942BE2"/>
    <w:rsid w:val="00952060"/>
    <w:rsid w:val="00954C85"/>
    <w:rsid w:val="00986D8C"/>
    <w:rsid w:val="00990545"/>
    <w:rsid w:val="009B3255"/>
    <w:rsid w:val="009B533E"/>
    <w:rsid w:val="009C2A89"/>
    <w:rsid w:val="009F1E9C"/>
    <w:rsid w:val="00A02453"/>
    <w:rsid w:val="00A24B51"/>
    <w:rsid w:val="00A46A93"/>
    <w:rsid w:val="00A46CBC"/>
    <w:rsid w:val="00A55CE0"/>
    <w:rsid w:val="00A826DB"/>
    <w:rsid w:val="00A83D49"/>
    <w:rsid w:val="00A97D70"/>
    <w:rsid w:val="00AA5698"/>
    <w:rsid w:val="00AB0865"/>
    <w:rsid w:val="00AC6D72"/>
    <w:rsid w:val="00AD6727"/>
    <w:rsid w:val="00B02550"/>
    <w:rsid w:val="00B064A5"/>
    <w:rsid w:val="00B3057D"/>
    <w:rsid w:val="00B307FF"/>
    <w:rsid w:val="00B35F53"/>
    <w:rsid w:val="00B538EE"/>
    <w:rsid w:val="00B73033"/>
    <w:rsid w:val="00B80A76"/>
    <w:rsid w:val="00B8603D"/>
    <w:rsid w:val="00B86107"/>
    <w:rsid w:val="00B90BCE"/>
    <w:rsid w:val="00B9375A"/>
    <w:rsid w:val="00B94FE6"/>
    <w:rsid w:val="00BA09C8"/>
    <w:rsid w:val="00BC736D"/>
    <w:rsid w:val="00BE4C09"/>
    <w:rsid w:val="00BF11F1"/>
    <w:rsid w:val="00C216DA"/>
    <w:rsid w:val="00C4219C"/>
    <w:rsid w:val="00C60F08"/>
    <w:rsid w:val="00CF58C6"/>
    <w:rsid w:val="00CF6958"/>
    <w:rsid w:val="00D32F33"/>
    <w:rsid w:val="00D501E8"/>
    <w:rsid w:val="00D578D2"/>
    <w:rsid w:val="00D61A9F"/>
    <w:rsid w:val="00D72CF9"/>
    <w:rsid w:val="00DB6CA9"/>
    <w:rsid w:val="00DC797D"/>
    <w:rsid w:val="00DE4422"/>
    <w:rsid w:val="00DE6BDF"/>
    <w:rsid w:val="00E45E4D"/>
    <w:rsid w:val="00E51D89"/>
    <w:rsid w:val="00E554DB"/>
    <w:rsid w:val="00E66D7C"/>
    <w:rsid w:val="00E81536"/>
    <w:rsid w:val="00E95B75"/>
    <w:rsid w:val="00EB5F04"/>
    <w:rsid w:val="00EC6C2A"/>
    <w:rsid w:val="00ED7918"/>
    <w:rsid w:val="00EE1BDB"/>
    <w:rsid w:val="00F17D11"/>
    <w:rsid w:val="00F2282D"/>
    <w:rsid w:val="00F275BB"/>
    <w:rsid w:val="00F3416F"/>
    <w:rsid w:val="00F35305"/>
    <w:rsid w:val="00F52D01"/>
    <w:rsid w:val="00F54672"/>
    <w:rsid w:val="00F76DE9"/>
    <w:rsid w:val="00FA0DAA"/>
    <w:rsid w:val="00FB3827"/>
    <w:rsid w:val="00FC1CFC"/>
    <w:rsid w:val="00FC1DFB"/>
    <w:rsid w:val="00FE5462"/>
    <w:rsid w:val="00FF1CAA"/>
    <w:rsid w:val="060E2EEF"/>
    <w:rsid w:val="2DC223F7"/>
    <w:rsid w:val="4BED22AB"/>
    <w:rsid w:val="7F193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style>
  <w:style w:type="paragraph" w:styleId="3">
    <w:name w:val="footer"/>
    <w:basedOn w:val="1"/>
    <w:link w:val="11"/>
    <w:qFormat/>
    <w:uiPriority w:val="99"/>
    <w:pPr>
      <w:tabs>
        <w:tab w:val="center" w:pos="4153"/>
        <w:tab w:val="right" w:pos="8306"/>
      </w:tabs>
      <w:snapToGrid w:val="0"/>
      <w:spacing w:after="0" w:line="240" w:lineRule="auto"/>
    </w:pPr>
    <w:rPr>
      <w:rFonts w:ascii="Calibri" w:hAnsi="Calibri" w:eastAsia="宋体" w:cs="Times New Roman"/>
      <w:sz w:val="18"/>
      <w:szCs w:val="18"/>
      <w14:ligatures w14:val="none"/>
    </w:rPr>
  </w:style>
  <w:style w:type="paragraph" w:styleId="4">
    <w:name w:val="header"/>
    <w:basedOn w:val="1"/>
    <w:link w:val="13"/>
    <w:unhideWhenUsed/>
    <w:qFormat/>
    <w:uiPriority w:val="99"/>
    <w:pPr>
      <w:tabs>
        <w:tab w:val="center" w:pos="4153"/>
        <w:tab w:val="right" w:pos="8306"/>
      </w:tabs>
      <w:snapToGrid w:val="0"/>
      <w:spacing w:line="240" w:lineRule="auto"/>
      <w:jc w:val="center"/>
    </w:pPr>
    <w:rPr>
      <w:sz w:val="18"/>
      <w:szCs w:val="18"/>
    </w:rPr>
  </w:style>
  <w:style w:type="paragraph" w:styleId="5">
    <w:name w:val="annotation subject"/>
    <w:basedOn w:val="2"/>
    <w:next w:val="2"/>
    <w:link w:val="16"/>
    <w:semiHidden/>
    <w:unhideWhenUsed/>
    <w:qFormat/>
    <w:uiPriority w:val="99"/>
    <w:rPr>
      <w:b/>
      <w:bCs/>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脚 字符"/>
    <w:basedOn w:val="7"/>
    <w:link w:val="3"/>
    <w:uiPriority w:val="99"/>
    <w:rPr>
      <w:rFonts w:ascii="Calibri" w:hAnsi="Calibri" w:eastAsia="宋体" w:cs="Times New Roman"/>
      <w:sz w:val="18"/>
      <w:szCs w:val="18"/>
      <w14:ligatures w14:val="none"/>
    </w:rPr>
  </w:style>
  <w:style w:type="table" w:customStyle="1" w:styleId="12">
    <w:name w:val="网格型1"/>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7"/>
    <w:link w:val="4"/>
    <w:uiPriority w:val="99"/>
    <w:rPr>
      <w:sz w:val="18"/>
      <w:szCs w:val="18"/>
    </w:rPr>
  </w:style>
  <w:style w:type="paragraph" w:customStyle="1" w:styleId="14">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15">
    <w:name w:val="批注文字 字符"/>
    <w:basedOn w:val="7"/>
    <w:link w:val="2"/>
    <w:qFormat/>
    <w:uiPriority w:val="99"/>
    <w:rPr>
      <w:kern w:val="2"/>
      <w:sz w:val="22"/>
      <w:szCs w:val="24"/>
      <w14:ligatures w14:val="standardContextual"/>
    </w:rPr>
  </w:style>
  <w:style w:type="character" w:customStyle="1" w:styleId="16">
    <w:name w:val="批注主题 字符"/>
    <w:basedOn w:val="15"/>
    <w:link w:val="5"/>
    <w:semiHidden/>
    <w:qFormat/>
    <w:uiPriority w:val="99"/>
    <w:rPr>
      <w:b/>
      <w:bCs/>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6155-9018-4D16-A539-1D9421AF6764}">
  <ds:schemaRefs/>
</ds:datastoreItem>
</file>

<file path=docProps/app.xml><?xml version="1.0" encoding="utf-8"?>
<Properties xmlns="http://schemas.openxmlformats.org/officeDocument/2006/extended-properties" xmlns:vt="http://schemas.openxmlformats.org/officeDocument/2006/docPropsVTypes">
  <Template>Normal</Template>
  <Pages>37</Pages>
  <Words>10387</Words>
  <Characters>10870</Characters>
  <Lines>834</Lines>
  <Paragraphs>777</Paragraphs>
  <TotalTime>488</TotalTime>
  <ScaleCrop>false</ScaleCrop>
  <LinksUpToDate>false</LinksUpToDate>
  <CharactersWithSpaces>11108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2026-03-31T09:04:00Z</dcterms:created>
  <dc:creator>Apache POI</dc:creator>
  <cp:lastModifiedBy>谭耀明</cp:lastModifiedBy>
  <dcterms:modified xsi:type="dcterms:W3CDTF">2026-04-07T09:51:22Z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eyJoZGlkIjoiYTkyODIzY2ZmYWI4MWU0YzJhNzQ1MmIyM2FjM2M1NGQiLCJ1c2VySWQiOiI3MjEyMDQyNjcifQ==</vt:lpwstr>
  </property>
  <property fmtid="{D5CDD505-2E9C-101B-9397-08002B2CF9AE}" pid="3" name="KSOProductBuildVer">
    <vt:lpwstr>2052-12.1.0.25225</vt:lpwstr>
  </property>
  <property fmtid="{D5CDD505-2E9C-101B-9397-08002B2CF9AE}" pid="4" name="ICV">
    <vt:lpwstr>93B5C1C1B77242D89C30FDBB2524593F_12</vt:lpwstr>
  </property>
</Properties>
</file>