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0760C4">
      <w:pPr>
        <w:spacing w:before="2040" w:after="140" w:line="360" w:lineRule="auto"/>
        <w:jc w:val="center"/>
        <w:outlineLvl w:val="0"/>
        <w:rPr>
          <w:rFonts w:hint="eastAsia" w:ascii="宋体" w:hAnsi="宋体" w:eastAsia="宋体"/>
          <w:sz w:val="32"/>
          <w:szCs w:val="32"/>
        </w:rPr>
      </w:pPr>
      <w:bookmarkStart w:id="0" w:name="heading_0"/>
      <w:r>
        <w:rPr>
          <w:rFonts w:ascii="宋体" w:hAnsi="宋体" w:eastAsia="宋体" w:cs="Arial"/>
          <w:b/>
          <w:sz w:val="32"/>
          <w:szCs w:val="32"/>
        </w:rPr>
        <w:t>中大餐饮、康乐园餐饮2026年</w:t>
      </w:r>
      <w:r>
        <w:rPr>
          <w:rFonts w:hint="eastAsia" w:ascii="宋体" w:hAnsi="宋体" w:eastAsia="宋体" w:cs="Arial"/>
          <w:b/>
          <w:sz w:val="32"/>
          <w:szCs w:val="32"/>
        </w:rPr>
        <w:t>中秋月饼</w:t>
      </w:r>
      <w:r>
        <w:rPr>
          <w:rFonts w:ascii="宋体" w:hAnsi="宋体" w:eastAsia="宋体" w:cs="Arial"/>
          <w:b/>
          <w:sz w:val="32"/>
          <w:szCs w:val="32"/>
        </w:rPr>
        <w:t>采购项目遴选文件</w:t>
      </w:r>
      <w:bookmarkEnd w:id="0"/>
    </w:p>
    <w:p w14:paraId="071801AB">
      <w:pPr>
        <w:spacing w:before="120" w:after="120" w:line="360" w:lineRule="auto"/>
        <w:rPr>
          <w:rFonts w:hint="eastAsia" w:ascii="宋体" w:hAnsi="宋体" w:eastAsia="宋体" w:cs="Arial"/>
          <w:b/>
          <w:sz w:val="32"/>
          <w:szCs w:val="32"/>
        </w:rPr>
      </w:pPr>
    </w:p>
    <w:p w14:paraId="3F04B505">
      <w:pPr>
        <w:spacing w:before="120" w:after="120" w:line="360" w:lineRule="auto"/>
        <w:rPr>
          <w:rFonts w:hint="eastAsia" w:ascii="宋体" w:hAnsi="宋体" w:eastAsia="宋体" w:cs="Arial"/>
          <w:b/>
          <w:sz w:val="32"/>
          <w:szCs w:val="32"/>
        </w:rPr>
      </w:pPr>
    </w:p>
    <w:p w14:paraId="32A147A0">
      <w:pPr>
        <w:spacing w:before="120" w:after="120" w:line="360" w:lineRule="auto"/>
        <w:rPr>
          <w:rFonts w:hint="eastAsia" w:ascii="宋体" w:hAnsi="宋体" w:eastAsia="宋体" w:cs="Arial"/>
          <w:b/>
          <w:sz w:val="32"/>
          <w:szCs w:val="32"/>
        </w:rPr>
      </w:pPr>
    </w:p>
    <w:p w14:paraId="7045918D">
      <w:pPr>
        <w:spacing w:before="120" w:after="120" w:line="360" w:lineRule="auto"/>
        <w:rPr>
          <w:rFonts w:hint="eastAsia" w:ascii="宋体" w:hAnsi="宋体" w:eastAsia="宋体" w:cs="Arial"/>
          <w:b/>
          <w:sz w:val="32"/>
          <w:szCs w:val="32"/>
        </w:rPr>
      </w:pPr>
    </w:p>
    <w:p w14:paraId="37EDB28D">
      <w:pPr>
        <w:spacing w:before="120" w:after="120" w:line="360" w:lineRule="auto"/>
        <w:rPr>
          <w:rFonts w:hint="eastAsia" w:ascii="宋体" w:hAnsi="宋体" w:eastAsia="宋体" w:cs="Arial"/>
          <w:b/>
          <w:sz w:val="32"/>
          <w:szCs w:val="32"/>
        </w:rPr>
      </w:pPr>
    </w:p>
    <w:p w14:paraId="34E7AD74">
      <w:pPr>
        <w:spacing w:before="120" w:after="120" w:line="360" w:lineRule="auto"/>
        <w:rPr>
          <w:rFonts w:hint="eastAsia" w:ascii="宋体" w:hAnsi="宋体" w:eastAsia="宋体" w:cs="Arial"/>
          <w:b/>
          <w:sz w:val="32"/>
          <w:szCs w:val="32"/>
        </w:rPr>
      </w:pPr>
    </w:p>
    <w:p w14:paraId="36F61A00">
      <w:pPr>
        <w:spacing w:before="120" w:after="120" w:line="360" w:lineRule="auto"/>
        <w:rPr>
          <w:rFonts w:hint="eastAsia" w:ascii="宋体" w:hAnsi="宋体" w:eastAsia="宋体" w:cs="Arial"/>
          <w:b/>
          <w:sz w:val="32"/>
          <w:szCs w:val="32"/>
        </w:rPr>
      </w:pPr>
    </w:p>
    <w:p w14:paraId="1A504A31">
      <w:pPr>
        <w:spacing w:before="120" w:after="120" w:line="360" w:lineRule="auto"/>
        <w:rPr>
          <w:rFonts w:hint="eastAsia" w:ascii="宋体" w:hAnsi="宋体" w:eastAsia="宋体" w:cs="Arial"/>
          <w:b/>
          <w:sz w:val="32"/>
          <w:szCs w:val="32"/>
        </w:rPr>
      </w:pPr>
    </w:p>
    <w:p w14:paraId="153B0BA0">
      <w:pPr>
        <w:spacing w:before="120" w:after="120" w:line="360" w:lineRule="auto"/>
        <w:rPr>
          <w:rFonts w:hint="eastAsia" w:ascii="宋体" w:hAnsi="宋体" w:eastAsia="宋体" w:cs="Arial"/>
          <w:b/>
          <w:sz w:val="32"/>
          <w:szCs w:val="32"/>
        </w:rPr>
      </w:pPr>
    </w:p>
    <w:p w14:paraId="1539BA17">
      <w:pPr>
        <w:spacing w:before="120" w:after="120" w:line="360" w:lineRule="auto"/>
        <w:jc w:val="center"/>
        <w:rPr>
          <w:rFonts w:hint="eastAsia" w:ascii="宋体" w:hAnsi="宋体" w:eastAsia="宋体" w:cs="Arial"/>
          <w:sz w:val="32"/>
          <w:szCs w:val="32"/>
        </w:rPr>
      </w:pPr>
      <w:r>
        <w:rPr>
          <w:rFonts w:ascii="宋体" w:hAnsi="宋体" w:eastAsia="宋体" w:cs="Arial"/>
          <w:b/>
          <w:sz w:val="32"/>
          <w:szCs w:val="32"/>
        </w:rPr>
        <w:t>采购方</w:t>
      </w:r>
      <w:r>
        <w:rPr>
          <w:rFonts w:ascii="宋体" w:hAnsi="宋体" w:eastAsia="宋体" w:cs="Arial"/>
          <w:sz w:val="32"/>
          <w:szCs w:val="32"/>
        </w:rPr>
        <w:t>：广州中大餐饮管理有限公司</w:t>
      </w:r>
    </w:p>
    <w:p w14:paraId="62A4CA56">
      <w:pPr>
        <w:spacing w:before="120" w:after="120" w:line="360" w:lineRule="auto"/>
        <w:jc w:val="center"/>
        <w:rPr>
          <w:rFonts w:hint="eastAsia" w:ascii="宋体" w:hAnsi="宋体" w:eastAsia="宋体" w:cs="Arial"/>
          <w:sz w:val="32"/>
          <w:szCs w:val="32"/>
        </w:rPr>
      </w:pPr>
      <w:r>
        <w:rPr>
          <w:rFonts w:hint="eastAsia" w:ascii="宋体" w:hAnsi="宋体" w:eastAsia="宋体" w:cs="Arial"/>
          <w:sz w:val="32"/>
          <w:szCs w:val="32"/>
        </w:rPr>
        <w:t xml:space="preserve">         广州中大康乐园餐饮有限公司</w:t>
      </w:r>
    </w:p>
    <w:p w14:paraId="66F3381B">
      <w:pPr>
        <w:spacing w:before="120" w:after="120" w:line="360" w:lineRule="auto"/>
        <w:jc w:val="center"/>
        <w:rPr>
          <w:rFonts w:hint="eastAsia" w:ascii="宋体" w:hAnsi="宋体" w:eastAsia="宋体"/>
          <w:sz w:val="32"/>
          <w:szCs w:val="32"/>
        </w:rPr>
      </w:pPr>
      <w:r>
        <w:rPr>
          <w:rFonts w:ascii="宋体" w:hAnsi="宋体" w:eastAsia="宋体" w:cs="Arial"/>
          <w:b/>
          <w:sz w:val="32"/>
          <w:szCs w:val="32"/>
        </w:rPr>
        <w:t>日期</w:t>
      </w:r>
      <w:r>
        <w:rPr>
          <w:rFonts w:ascii="宋体" w:hAnsi="宋体" w:eastAsia="宋体" w:cs="Arial"/>
          <w:sz w:val="32"/>
          <w:szCs w:val="32"/>
        </w:rPr>
        <w:t>：202</w:t>
      </w:r>
      <w:r>
        <w:rPr>
          <w:rFonts w:hint="eastAsia" w:ascii="宋体" w:hAnsi="宋体" w:eastAsia="宋体" w:cs="Arial"/>
          <w:sz w:val="32"/>
          <w:szCs w:val="32"/>
        </w:rPr>
        <w:t>6</w:t>
      </w:r>
      <w:r>
        <w:rPr>
          <w:rFonts w:ascii="宋体" w:hAnsi="宋体" w:eastAsia="宋体" w:cs="Arial"/>
          <w:sz w:val="32"/>
          <w:szCs w:val="32"/>
        </w:rPr>
        <w:t>年__</w:t>
      </w:r>
      <w:r>
        <w:rPr>
          <w:rFonts w:hint="eastAsia" w:ascii="宋体" w:hAnsi="宋体" w:eastAsia="宋体" w:cs="Arial"/>
          <w:sz w:val="32"/>
          <w:szCs w:val="32"/>
        </w:rPr>
        <w:t>7</w:t>
      </w:r>
      <w:r>
        <w:rPr>
          <w:rFonts w:ascii="宋体" w:hAnsi="宋体" w:eastAsia="宋体" w:cs="Arial"/>
          <w:sz w:val="32"/>
          <w:szCs w:val="32"/>
        </w:rPr>
        <w:t>__月__</w:t>
      </w:r>
      <w:r>
        <w:rPr>
          <w:rFonts w:hint="eastAsia" w:ascii="宋体" w:hAnsi="宋体" w:eastAsia="宋体" w:cs="Arial"/>
          <w:sz w:val="32"/>
          <w:szCs w:val="32"/>
          <w:lang w:val="en-US" w:eastAsia="zh-CN"/>
        </w:rPr>
        <w:t>20</w:t>
      </w:r>
      <w:r>
        <w:rPr>
          <w:rFonts w:ascii="宋体" w:hAnsi="宋体" w:eastAsia="宋体" w:cs="Arial"/>
          <w:sz w:val="32"/>
          <w:szCs w:val="32"/>
        </w:rPr>
        <w:t>__日</w:t>
      </w:r>
    </w:p>
    <w:p w14:paraId="1BBC4F1C">
      <w:pPr>
        <w:widowControl/>
        <w:spacing w:line="360" w:lineRule="auto"/>
        <w:rPr>
          <w:rFonts w:hint="eastAsia" w:ascii="宋体" w:hAnsi="宋体" w:eastAsia="宋体" w:cs="Arial"/>
          <w:b/>
          <w:sz w:val="24"/>
        </w:rPr>
      </w:pPr>
      <w:bookmarkStart w:id="1" w:name="heading_1"/>
      <w:r>
        <w:rPr>
          <w:rFonts w:ascii="宋体" w:hAnsi="宋体" w:eastAsia="宋体" w:cs="Arial"/>
          <w:b/>
          <w:sz w:val="24"/>
        </w:rPr>
        <w:br w:type="page"/>
      </w:r>
    </w:p>
    <w:p w14:paraId="22339CD9">
      <w:pPr>
        <w:spacing w:before="320" w:after="120" w:line="360" w:lineRule="auto"/>
        <w:jc w:val="center"/>
        <w:outlineLvl w:val="1"/>
        <w:rPr>
          <w:rFonts w:hint="eastAsia" w:ascii="宋体" w:hAnsi="宋体" w:eastAsia="宋体"/>
          <w:sz w:val="24"/>
        </w:rPr>
      </w:pPr>
      <w:r>
        <w:rPr>
          <w:rFonts w:ascii="宋体" w:hAnsi="宋体" w:eastAsia="宋体" w:cs="Arial"/>
          <w:b/>
          <w:sz w:val="24"/>
        </w:rPr>
        <w:t>目录</w:t>
      </w:r>
      <w:bookmarkEnd w:id="1"/>
    </w:p>
    <w:p w14:paraId="3114E2BC">
      <w:pPr>
        <w:spacing w:before="120" w:after="120" w:line="360" w:lineRule="auto"/>
        <w:rPr>
          <w:rFonts w:hint="eastAsia" w:ascii="宋体" w:hAnsi="宋体" w:eastAsia="宋体"/>
          <w:sz w:val="24"/>
        </w:rPr>
      </w:pPr>
      <w:r>
        <w:rPr>
          <w:rFonts w:ascii="宋体" w:hAnsi="宋体" w:eastAsia="宋体" w:cs="Arial"/>
          <w:sz w:val="24"/>
        </w:rPr>
        <w:t>第一部分 遴选公告</w:t>
      </w:r>
    </w:p>
    <w:p w14:paraId="094B1F17">
      <w:pPr>
        <w:spacing w:before="120" w:after="120" w:line="360" w:lineRule="auto"/>
        <w:rPr>
          <w:rFonts w:hint="eastAsia" w:ascii="宋体" w:hAnsi="宋体" w:eastAsia="宋体"/>
          <w:sz w:val="24"/>
        </w:rPr>
      </w:pPr>
      <w:r>
        <w:rPr>
          <w:rFonts w:ascii="宋体" w:hAnsi="宋体" w:eastAsia="宋体" w:cs="Arial"/>
          <w:sz w:val="24"/>
        </w:rPr>
        <w:t>第二部分 采购需求</w:t>
      </w:r>
    </w:p>
    <w:p w14:paraId="21F47233">
      <w:pPr>
        <w:spacing w:before="120" w:after="120" w:line="360" w:lineRule="auto"/>
        <w:rPr>
          <w:rFonts w:hint="eastAsia" w:ascii="宋体" w:hAnsi="宋体" w:eastAsia="宋体"/>
          <w:sz w:val="24"/>
        </w:rPr>
      </w:pPr>
      <w:r>
        <w:rPr>
          <w:rFonts w:ascii="宋体" w:hAnsi="宋体" w:eastAsia="宋体" w:cs="Arial"/>
          <w:sz w:val="24"/>
        </w:rPr>
        <w:t>第三部分 响应文件编制要求</w:t>
      </w:r>
    </w:p>
    <w:p w14:paraId="39CDD4E3">
      <w:pPr>
        <w:spacing w:before="120" w:after="120" w:line="360" w:lineRule="auto"/>
        <w:rPr>
          <w:rFonts w:hint="eastAsia" w:ascii="宋体" w:hAnsi="宋体" w:eastAsia="宋体"/>
          <w:sz w:val="24"/>
        </w:rPr>
      </w:pPr>
      <w:r>
        <w:rPr>
          <w:rFonts w:ascii="宋体" w:hAnsi="宋体" w:eastAsia="宋体" w:cs="Arial"/>
          <w:sz w:val="24"/>
        </w:rPr>
        <w:t>第四部分 评审办法</w:t>
      </w:r>
    </w:p>
    <w:p w14:paraId="286CD172">
      <w:pPr>
        <w:spacing w:before="120" w:after="120" w:line="360" w:lineRule="auto"/>
        <w:rPr>
          <w:rFonts w:hint="eastAsia" w:ascii="宋体" w:hAnsi="宋体" w:eastAsia="宋体"/>
          <w:sz w:val="24"/>
        </w:rPr>
      </w:pPr>
      <w:r>
        <w:rPr>
          <w:rFonts w:ascii="宋体" w:hAnsi="宋体" w:eastAsia="宋体" w:cs="Arial"/>
          <w:sz w:val="24"/>
        </w:rPr>
        <w:t>第五部分 合同主要条款</w:t>
      </w:r>
    </w:p>
    <w:p w14:paraId="71ABD91A">
      <w:pPr>
        <w:spacing w:before="120" w:after="120" w:line="360" w:lineRule="auto"/>
        <w:rPr>
          <w:rFonts w:hint="eastAsia" w:ascii="宋体" w:hAnsi="宋体" w:eastAsia="宋体"/>
          <w:sz w:val="24"/>
        </w:rPr>
      </w:pPr>
      <w:r>
        <w:rPr>
          <w:rFonts w:ascii="宋体" w:hAnsi="宋体" w:eastAsia="宋体" w:cs="Arial"/>
          <w:sz w:val="24"/>
        </w:rPr>
        <w:t>附件：响应文件模板（含所有需填报表格）</w:t>
      </w:r>
    </w:p>
    <w:p w14:paraId="68B4C0B7">
      <w:pPr>
        <w:widowControl/>
        <w:ind w:firstLine="480" w:firstLineChars="200"/>
        <w:rPr>
          <w:rFonts w:hint="eastAsia" w:ascii="宋体" w:hAnsi="宋体" w:eastAsia="宋体"/>
          <w:sz w:val="24"/>
        </w:rPr>
      </w:pPr>
      <w:bookmarkStart w:id="2" w:name="heading_2"/>
      <w:r>
        <w:rPr>
          <w:rFonts w:hint="eastAsia" w:ascii="宋体" w:hAnsi="宋体" w:eastAsia="宋体"/>
          <w:sz w:val="24"/>
        </w:rPr>
        <w:br w:type="page"/>
      </w:r>
    </w:p>
    <w:p w14:paraId="7952197F">
      <w:pPr>
        <w:spacing w:before="380" w:after="140" w:line="360" w:lineRule="auto"/>
        <w:ind w:firstLine="482" w:firstLineChars="200"/>
        <w:jc w:val="center"/>
        <w:outlineLvl w:val="0"/>
        <w:rPr>
          <w:rFonts w:hint="eastAsia" w:ascii="宋体" w:hAnsi="宋体" w:eastAsia="宋体"/>
          <w:sz w:val="24"/>
        </w:rPr>
      </w:pPr>
      <w:r>
        <w:rPr>
          <w:rFonts w:ascii="宋体" w:hAnsi="宋体" w:eastAsia="宋体" w:cs="Arial"/>
          <w:b/>
          <w:sz w:val="24"/>
        </w:rPr>
        <w:t>第一部分 遴选公告</w:t>
      </w:r>
      <w:bookmarkEnd w:id="2"/>
    </w:p>
    <w:p w14:paraId="5DA9285A">
      <w:pPr>
        <w:pStyle w:val="12"/>
        <w:numPr>
          <w:ilvl w:val="0"/>
          <w:numId w:val="1"/>
        </w:numPr>
        <w:spacing w:before="320" w:after="120" w:line="360" w:lineRule="auto"/>
        <w:ind w:left="0" w:firstLine="482"/>
        <w:outlineLvl w:val="1"/>
        <w:rPr>
          <w:rFonts w:hint="eastAsia" w:ascii="宋体" w:hAnsi="宋体" w:eastAsia="宋体" w:cs="Arial"/>
          <w:b/>
          <w:sz w:val="24"/>
        </w:rPr>
      </w:pPr>
      <w:bookmarkStart w:id="3" w:name="heading_3"/>
      <w:r>
        <w:rPr>
          <w:rFonts w:ascii="宋体" w:hAnsi="宋体" w:eastAsia="宋体" w:cs="Arial"/>
          <w:b/>
          <w:sz w:val="24"/>
        </w:rPr>
        <w:t>项目基本信息</w:t>
      </w:r>
      <w:bookmarkEnd w:id="3"/>
    </w:p>
    <w:p w14:paraId="3D7DF16B">
      <w:pPr>
        <w:numPr>
          <w:ilvl w:val="0"/>
          <w:numId w:val="2"/>
        </w:numPr>
        <w:spacing w:before="120" w:after="120" w:line="360" w:lineRule="auto"/>
        <w:ind w:firstLine="482" w:firstLineChars="200"/>
        <w:rPr>
          <w:rFonts w:hint="eastAsia" w:ascii="宋体" w:hAnsi="宋体" w:eastAsia="宋体"/>
          <w:sz w:val="24"/>
        </w:rPr>
      </w:pPr>
      <w:r>
        <w:rPr>
          <w:rFonts w:ascii="宋体" w:hAnsi="宋体" w:eastAsia="宋体" w:cs="Arial"/>
          <w:b/>
          <w:sz w:val="24"/>
        </w:rPr>
        <w:t>项目名称</w:t>
      </w:r>
      <w:r>
        <w:rPr>
          <w:rFonts w:ascii="宋体" w:hAnsi="宋体" w:eastAsia="宋体" w:cs="Arial"/>
          <w:sz w:val="24"/>
        </w:rPr>
        <w:t>：中大餐饮、康乐园餐饮2026年</w:t>
      </w:r>
      <w:r>
        <w:rPr>
          <w:rFonts w:hint="eastAsia" w:ascii="宋体" w:hAnsi="宋体" w:eastAsia="宋体" w:cs="Arial"/>
          <w:sz w:val="24"/>
        </w:rPr>
        <w:t>中秋月饼</w:t>
      </w:r>
      <w:r>
        <w:rPr>
          <w:rFonts w:ascii="宋体" w:hAnsi="宋体" w:eastAsia="宋体" w:cs="Arial"/>
          <w:sz w:val="24"/>
        </w:rPr>
        <w:t>采购项目</w:t>
      </w:r>
    </w:p>
    <w:p w14:paraId="23A35EDA">
      <w:pPr>
        <w:numPr>
          <w:ilvl w:val="0"/>
          <w:numId w:val="2"/>
        </w:numPr>
        <w:spacing w:before="120" w:after="120" w:line="360" w:lineRule="auto"/>
        <w:ind w:firstLine="482" w:firstLineChars="200"/>
        <w:rPr>
          <w:rFonts w:hint="eastAsia" w:ascii="宋体" w:hAnsi="宋体" w:eastAsia="宋体"/>
          <w:sz w:val="24"/>
        </w:rPr>
      </w:pPr>
      <w:r>
        <w:rPr>
          <w:rFonts w:ascii="宋体" w:hAnsi="宋体" w:eastAsia="宋体" w:cs="Arial"/>
          <w:b/>
          <w:sz w:val="24"/>
        </w:rPr>
        <w:t>采购方式</w:t>
      </w:r>
      <w:r>
        <w:rPr>
          <w:rFonts w:ascii="宋体" w:hAnsi="宋体" w:eastAsia="宋体" w:cs="Arial"/>
          <w:sz w:val="24"/>
        </w:rPr>
        <w:t>：</w:t>
      </w:r>
      <w:r>
        <w:rPr>
          <w:rFonts w:hint="eastAsia" w:ascii="宋体" w:hAnsi="宋体" w:eastAsia="宋体" w:cs="Arial"/>
          <w:sz w:val="24"/>
        </w:rPr>
        <w:t>公开</w:t>
      </w:r>
      <w:r>
        <w:rPr>
          <w:rFonts w:ascii="宋体" w:hAnsi="宋体" w:eastAsia="宋体" w:cs="Arial"/>
          <w:sz w:val="24"/>
        </w:rPr>
        <w:t>遴选</w:t>
      </w:r>
    </w:p>
    <w:p w14:paraId="4D7AA7E3">
      <w:pPr>
        <w:numPr>
          <w:ilvl w:val="0"/>
          <w:numId w:val="2"/>
        </w:numPr>
        <w:spacing w:before="120" w:after="120" w:line="360" w:lineRule="auto"/>
        <w:ind w:firstLine="480" w:firstLineChars="200"/>
        <w:rPr>
          <w:rFonts w:hint="eastAsia" w:ascii="宋体" w:hAnsi="宋体" w:eastAsia="宋体"/>
          <w:sz w:val="24"/>
        </w:rPr>
      </w:pPr>
      <w:r>
        <w:rPr>
          <w:rFonts w:hint="eastAsia" w:ascii="宋体" w:hAnsi="宋体" w:eastAsia="宋体" w:cs="Arial"/>
          <w:sz w:val="24"/>
        </w:rPr>
        <w:t xml:space="preserve">项目总报价最高限价： </w:t>
      </w:r>
    </w:p>
    <w:p w14:paraId="7CD69214">
      <w:pPr>
        <w:pStyle w:val="12"/>
        <w:numPr>
          <w:ilvl w:val="0"/>
          <w:numId w:val="3"/>
        </w:numPr>
        <w:spacing w:before="120" w:after="120" w:line="360" w:lineRule="auto"/>
        <w:ind w:left="0" w:firstLine="567" w:firstLineChars="0"/>
        <w:rPr>
          <w:rFonts w:hint="eastAsia" w:ascii="宋体" w:hAnsi="宋体" w:eastAsia="宋体" w:cs="Arial"/>
          <w:sz w:val="24"/>
        </w:rPr>
      </w:pPr>
      <w:r>
        <w:rPr>
          <w:rFonts w:hint="eastAsia" w:ascii="宋体" w:hAnsi="宋体" w:eastAsia="宋体" w:cs="Arial"/>
          <w:sz w:val="24"/>
        </w:rPr>
        <w:t>子包一-传统口味月饼：中大餐饮：80.6万元、康乐园餐饮：1万元</w:t>
      </w:r>
    </w:p>
    <w:p w14:paraId="6C941C88">
      <w:pPr>
        <w:pStyle w:val="12"/>
        <w:numPr>
          <w:ilvl w:val="0"/>
          <w:numId w:val="3"/>
        </w:numPr>
        <w:spacing w:before="120" w:after="120" w:line="360" w:lineRule="auto"/>
        <w:ind w:left="0" w:firstLine="567" w:firstLineChars="0"/>
        <w:rPr>
          <w:rFonts w:hint="eastAsia" w:ascii="宋体" w:hAnsi="宋体" w:eastAsia="宋体"/>
          <w:sz w:val="24"/>
        </w:rPr>
      </w:pPr>
      <w:r>
        <w:rPr>
          <w:rFonts w:hint="eastAsia" w:ascii="宋体" w:hAnsi="宋体" w:eastAsia="宋体" w:cs="Arial"/>
          <w:sz w:val="24"/>
        </w:rPr>
        <w:t>子包二-新式口味月饼：中大餐饮：85.0万元、康乐园餐饮：2万元</w:t>
      </w:r>
    </w:p>
    <w:p w14:paraId="09177257">
      <w:pPr>
        <w:numPr>
          <w:ilvl w:val="0"/>
          <w:numId w:val="2"/>
        </w:numPr>
        <w:spacing w:before="120" w:after="120" w:line="360" w:lineRule="auto"/>
        <w:ind w:firstLine="482" w:firstLineChars="200"/>
        <w:rPr>
          <w:rFonts w:hint="eastAsia" w:ascii="宋体" w:hAnsi="宋体" w:eastAsia="宋体" w:cs="Arial"/>
          <w:b/>
          <w:sz w:val="24"/>
        </w:rPr>
      </w:pPr>
      <w:r>
        <w:rPr>
          <w:rFonts w:ascii="宋体" w:hAnsi="宋体" w:eastAsia="宋体" w:cs="Arial"/>
          <w:b/>
          <w:sz w:val="24"/>
        </w:rPr>
        <w:t>服务地点：</w:t>
      </w:r>
      <w:r>
        <w:rPr>
          <w:rFonts w:hint="eastAsia" w:ascii="宋体" w:hAnsi="宋体" w:eastAsia="宋体" w:cs="Arial"/>
          <w:bCs/>
          <w:sz w:val="24"/>
        </w:rPr>
        <w:t>广州市南沙区东涌镇马兴街3号(厂房二)、广州市海珠区新港西路135号中大蒲园区609号康乐园餐厅及</w:t>
      </w:r>
      <w:r>
        <w:rPr>
          <w:rFonts w:ascii="宋体" w:hAnsi="宋体" w:eastAsia="宋体" w:cs="Arial"/>
          <w:bCs/>
          <w:sz w:val="24"/>
        </w:rPr>
        <w:t>采购人后续指定的广州校区内其他食堂点位</w:t>
      </w:r>
    </w:p>
    <w:p w14:paraId="638A1A7E">
      <w:pPr>
        <w:numPr>
          <w:ilvl w:val="0"/>
          <w:numId w:val="2"/>
        </w:numPr>
        <w:spacing w:before="120" w:after="120" w:line="360" w:lineRule="auto"/>
        <w:ind w:firstLine="482" w:firstLineChars="200"/>
        <w:rPr>
          <w:rFonts w:hint="eastAsia" w:ascii="宋体" w:hAnsi="宋体" w:eastAsia="宋体" w:cs="Arial"/>
          <w:b/>
          <w:sz w:val="24"/>
        </w:rPr>
      </w:pPr>
      <w:r>
        <w:rPr>
          <w:rFonts w:ascii="宋体" w:hAnsi="宋体" w:eastAsia="宋体" w:cs="Arial"/>
          <w:b/>
          <w:sz w:val="24"/>
        </w:rPr>
        <w:t>入围方式</w:t>
      </w:r>
      <w:r>
        <w:rPr>
          <w:rFonts w:ascii="宋体" w:hAnsi="宋体" w:eastAsia="宋体" w:cs="Arial"/>
          <w:sz w:val="24"/>
        </w:rPr>
        <w:t>：本项目共2个包组，各子包</w:t>
      </w:r>
      <w:r>
        <w:rPr>
          <w:rFonts w:ascii="宋体" w:hAnsi="宋体" w:eastAsia="宋体" w:cs="Arial"/>
          <w:b/>
          <w:bCs/>
          <w:sz w:val="24"/>
        </w:rPr>
        <w:t>1家中选单位、1家备选单位</w:t>
      </w:r>
      <w:r>
        <w:rPr>
          <w:rFonts w:ascii="宋体" w:hAnsi="宋体" w:eastAsia="宋体" w:cs="Arial"/>
          <w:sz w:val="24"/>
        </w:rPr>
        <w:t>，</w:t>
      </w:r>
      <w:r>
        <w:rPr>
          <w:rFonts w:ascii="宋体" w:hAnsi="宋体" w:eastAsia="宋体" w:cs="Arial"/>
          <w:b/>
          <w:bCs/>
          <w:sz w:val="24"/>
        </w:rPr>
        <w:t>兼投兼中</w:t>
      </w:r>
      <w:r>
        <w:rPr>
          <w:rFonts w:ascii="宋体" w:hAnsi="宋体" w:eastAsia="宋体" w:cs="Arial"/>
          <w:sz w:val="24"/>
        </w:rPr>
        <w:t>；备选单位在中选单位无法履行合同义务时</w:t>
      </w:r>
      <w:r>
        <w:rPr>
          <w:rFonts w:hint="eastAsia" w:ascii="宋体" w:hAnsi="宋体" w:eastAsia="宋体" w:cs="Arial"/>
          <w:sz w:val="24"/>
        </w:rPr>
        <w:t>继续</w:t>
      </w:r>
      <w:r>
        <w:rPr>
          <w:rFonts w:ascii="宋体" w:hAnsi="宋体" w:eastAsia="宋体" w:cs="Arial"/>
          <w:sz w:val="24"/>
        </w:rPr>
        <w:t>承接本项目；</w:t>
      </w:r>
    </w:p>
    <w:p w14:paraId="44273807">
      <w:pPr>
        <w:numPr>
          <w:ilvl w:val="0"/>
          <w:numId w:val="2"/>
        </w:numPr>
        <w:spacing w:before="120" w:after="120" w:line="360" w:lineRule="auto"/>
        <w:ind w:firstLine="482" w:firstLineChars="200"/>
        <w:rPr>
          <w:rFonts w:hint="eastAsia" w:ascii="宋体" w:hAnsi="宋体" w:eastAsia="宋体" w:cs="Arial"/>
          <w:b/>
          <w:sz w:val="24"/>
        </w:rPr>
      </w:pPr>
      <w:r>
        <w:rPr>
          <w:rFonts w:hint="eastAsia" w:ascii="宋体" w:hAnsi="宋体" w:eastAsia="宋体" w:cs="Arial"/>
          <w:b/>
          <w:sz w:val="24"/>
        </w:rPr>
        <w:t>交货时间</w:t>
      </w:r>
      <w:r>
        <w:rPr>
          <w:rFonts w:ascii="宋体" w:hAnsi="宋体" w:eastAsia="宋体" w:cs="Arial"/>
          <w:sz w:val="24"/>
        </w:rPr>
        <w:t>：</w:t>
      </w:r>
      <w:r>
        <w:rPr>
          <w:rFonts w:hint="eastAsia" w:ascii="宋体" w:hAnsi="宋体" w:eastAsia="宋体" w:cs="Arial"/>
          <w:sz w:val="24"/>
        </w:rPr>
        <w:t>2026年中秋节前，具体时间以采购方规定为准。</w:t>
      </w:r>
    </w:p>
    <w:p w14:paraId="2F9D3FBB">
      <w:pPr>
        <w:numPr>
          <w:ilvl w:val="0"/>
          <w:numId w:val="2"/>
        </w:numPr>
        <w:spacing w:before="120" w:after="120" w:line="360" w:lineRule="auto"/>
        <w:ind w:firstLine="482" w:firstLineChars="200"/>
        <w:rPr>
          <w:rFonts w:hint="eastAsia" w:ascii="宋体" w:hAnsi="宋体" w:eastAsia="宋体" w:cs="Arial"/>
          <w:b/>
          <w:sz w:val="24"/>
        </w:rPr>
      </w:pPr>
      <w:r>
        <w:rPr>
          <w:rFonts w:hint="eastAsia" w:ascii="宋体" w:hAnsi="宋体" w:eastAsia="宋体" w:cs="Arial"/>
          <w:b/>
          <w:sz w:val="24"/>
        </w:rPr>
        <w:t>其他说明：</w:t>
      </w:r>
      <w:r>
        <w:rPr>
          <w:rFonts w:hint="eastAsia" w:ascii="宋体" w:hAnsi="宋体" w:eastAsia="宋体" w:cs="Arial"/>
          <w:bCs/>
          <w:sz w:val="24"/>
        </w:rPr>
        <w:t>因月饼为时令性食品，故中选方如未能按采购方要求的供货时间供货，采购方可拒收货物且不支付任何费用同时履约保证金不予退还。</w:t>
      </w:r>
    </w:p>
    <w:p w14:paraId="4B8B620C">
      <w:pPr>
        <w:pStyle w:val="12"/>
        <w:numPr>
          <w:ilvl w:val="0"/>
          <w:numId w:val="1"/>
        </w:numPr>
        <w:spacing w:before="320" w:after="120" w:line="360" w:lineRule="auto"/>
        <w:ind w:left="0" w:firstLine="482"/>
        <w:outlineLvl w:val="1"/>
        <w:rPr>
          <w:rFonts w:hint="eastAsia" w:ascii="宋体" w:hAnsi="宋体" w:eastAsia="宋体" w:cs="Arial"/>
          <w:b/>
          <w:sz w:val="24"/>
        </w:rPr>
      </w:pPr>
      <w:bookmarkStart w:id="4" w:name="heading_5"/>
      <w:r>
        <w:rPr>
          <w:rFonts w:ascii="宋体" w:hAnsi="宋体" w:eastAsia="宋体" w:cs="Arial"/>
          <w:b/>
          <w:sz w:val="24"/>
        </w:rPr>
        <w:t>供应商资质要求</w:t>
      </w:r>
      <w:bookmarkEnd w:id="4"/>
    </w:p>
    <w:p w14:paraId="3D3D4299">
      <w:pPr>
        <w:numPr>
          <w:ilvl w:val="0"/>
          <w:numId w:val="4"/>
        </w:numPr>
        <w:spacing w:before="120" w:after="120" w:line="360" w:lineRule="auto"/>
        <w:ind w:firstLine="480" w:firstLineChars="200"/>
        <w:rPr>
          <w:rFonts w:hint="eastAsia" w:ascii="宋体" w:hAnsi="宋体" w:eastAsia="宋体" w:cs="Arial"/>
          <w:bCs/>
          <w:sz w:val="24"/>
        </w:rPr>
      </w:pPr>
      <w:r>
        <w:rPr>
          <w:rFonts w:ascii="宋体" w:hAnsi="宋体" w:eastAsia="宋体" w:cs="Arial"/>
          <w:bCs/>
          <w:sz w:val="24"/>
        </w:rPr>
        <w:t>供应商为中华人民共和国境内注册的法人/其他组织，持有有效营业执照（经营范围含食品销售/配送/食品经营等相关内容）；分公司响应的，须提供总公司出具的唯一授权书及总公司+分公司营业执照复印件，总公司/下属分公司业绩、资质不得作为分公司评审依据。</w:t>
      </w:r>
    </w:p>
    <w:p w14:paraId="7230B20F">
      <w:pPr>
        <w:numPr>
          <w:ilvl w:val="0"/>
          <w:numId w:val="4"/>
        </w:numPr>
        <w:spacing w:before="120" w:after="120" w:line="360" w:lineRule="auto"/>
        <w:ind w:firstLine="480" w:firstLineChars="200"/>
        <w:rPr>
          <w:rFonts w:hint="eastAsia" w:ascii="宋体" w:hAnsi="宋体" w:eastAsia="宋体" w:cs="Arial"/>
          <w:bCs/>
          <w:sz w:val="24"/>
        </w:rPr>
      </w:pPr>
      <w:r>
        <w:rPr>
          <w:rFonts w:ascii="宋体" w:hAnsi="宋体" w:eastAsia="宋体" w:cs="Arial"/>
          <w:sz w:val="24"/>
        </w:rPr>
        <w:t>未被列入“信用中国”网站（</w:t>
      </w:r>
      <w:r>
        <w:fldChar w:fldCharType="begin"/>
      </w:r>
      <w:r>
        <w:instrText xml:space="preserve"> HYPERLINK "http://www.creditchina.gov.cn" \h </w:instrText>
      </w:r>
      <w:r>
        <w:fldChar w:fldCharType="separate"/>
      </w:r>
      <w:r>
        <w:rPr>
          <w:rFonts w:ascii="宋体" w:hAnsi="宋体" w:eastAsia="宋体" w:cs="Arial"/>
          <w:sz w:val="24"/>
        </w:rPr>
        <w:t>www.creditchina.gov.cn</w:t>
      </w:r>
      <w:r>
        <w:rPr>
          <w:rFonts w:ascii="宋体" w:hAnsi="宋体" w:eastAsia="宋体" w:cs="Arial"/>
          <w:sz w:val="24"/>
        </w:rPr>
        <w:fldChar w:fldCharType="end"/>
      </w:r>
      <w:r>
        <w:rPr>
          <w:rFonts w:ascii="宋体" w:hAnsi="宋体" w:eastAsia="宋体" w:cs="Arial"/>
          <w:sz w:val="24"/>
        </w:rPr>
        <w:t>）</w:t>
      </w:r>
      <w:r>
        <w:rPr>
          <w:rFonts w:ascii="宋体" w:hAnsi="宋体" w:eastAsia="宋体" w:cs="Arial"/>
          <w:b/>
          <w:sz w:val="24"/>
        </w:rPr>
        <w:t>失信被执行人、重大税收违法失信主体</w:t>
      </w:r>
      <w:r>
        <w:rPr>
          <w:rFonts w:ascii="宋体" w:hAnsi="宋体" w:eastAsia="宋体" w:cs="Arial"/>
          <w:sz w:val="24"/>
        </w:rPr>
        <w:t>名单，未处于中国政府采购网（</w:t>
      </w:r>
      <w:r>
        <w:fldChar w:fldCharType="begin"/>
      </w:r>
      <w:r>
        <w:instrText xml:space="preserve"> HYPERLINK "http://www.ccgp.gov.cn" \h </w:instrText>
      </w:r>
      <w:r>
        <w:fldChar w:fldCharType="separate"/>
      </w:r>
      <w:r>
        <w:rPr>
          <w:rFonts w:ascii="宋体" w:hAnsi="宋体" w:eastAsia="宋体" w:cs="Arial"/>
          <w:sz w:val="24"/>
        </w:rPr>
        <w:t>www.ccgp.gov.cn</w:t>
      </w:r>
      <w:r>
        <w:rPr>
          <w:rFonts w:ascii="宋体" w:hAnsi="宋体" w:eastAsia="宋体" w:cs="Arial"/>
          <w:sz w:val="24"/>
        </w:rPr>
        <w:fldChar w:fldCharType="end"/>
      </w:r>
      <w:r>
        <w:rPr>
          <w:rFonts w:ascii="宋体" w:hAnsi="宋体" w:eastAsia="宋体" w:cs="Arial"/>
          <w:sz w:val="24"/>
        </w:rPr>
        <w:t>）</w:t>
      </w:r>
      <w:r>
        <w:rPr>
          <w:rFonts w:ascii="宋体" w:hAnsi="宋体" w:eastAsia="宋体" w:cs="Arial"/>
          <w:b/>
          <w:sz w:val="24"/>
        </w:rPr>
        <w:t>政府采购严重违法失信行为信息记录</w:t>
      </w:r>
      <w:r>
        <w:rPr>
          <w:rFonts w:ascii="宋体" w:hAnsi="宋体" w:eastAsia="宋体" w:cs="Arial"/>
          <w:sz w:val="24"/>
        </w:rPr>
        <w:t>禁止期内；分公司响应的同步核查总公司信用，总公司有不良记录视同供应商存在不良记录（以采购方响应截止日查询结果为准）</w:t>
      </w:r>
      <w:r>
        <w:rPr>
          <w:rFonts w:hint="eastAsia" w:ascii="宋体" w:hAnsi="宋体" w:eastAsia="宋体" w:cs="Arial"/>
          <w:sz w:val="24"/>
        </w:rPr>
        <w:t>（在上述网站查询结果均显示没有相关记录，视为不存在上述不良信用记录）。</w:t>
      </w:r>
    </w:p>
    <w:p w14:paraId="512BD86B">
      <w:pPr>
        <w:numPr>
          <w:ilvl w:val="0"/>
          <w:numId w:val="4"/>
        </w:numPr>
        <w:spacing w:before="120" w:after="120" w:line="360" w:lineRule="auto"/>
        <w:ind w:firstLine="480" w:firstLineChars="200"/>
        <w:rPr>
          <w:rFonts w:hint="eastAsia" w:ascii="宋体" w:hAnsi="宋体" w:eastAsia="宋体" w:cs="Arial"/>
          <w:bCs/>
          <w:sz w:val="24"/>
        </w:rPr>
      </w:pPr>
      <w:r>
        <w:rPr>
          <w:rFonts w:ascii="宋体" w:hAnsi="宋体" w:eastAsia="宋体" w:cs="Arial"/>
          <w:sz w:val="24"/>
        </w:rPr>
        <w:t>持有</w:t>
      </w:r>
      <w:r>
        <w:rPr>
          <w:rFonts w:ascii="宋体" w:hAnsi="宋体" w:eastAsia="宋体" w:cs="Arial"/>
          <w:b/>
          <w:sz w:val="24"/>
        </w:rPr>
        <w:t>有效</w:t>
      </w:r>
      <w:r>
        <w:rPr>
          <w:rFonts w:hint="eastAsia" w:ascii="宋体" w:hAnsi="宋体" w:eastAsia="宋体" w:cs="Arial"/>
          <w:b/>
          <w:sz w:val="24"/>
        </w:rPr>
        <w:t>《食品经营许可证》或《食品生产许可证》或《仅销售预包装食品经营者备案信息采集表》（如国家另有规定，则适用其规定）</w:t>
      </w:r>
      <w:r>
        <w:rPr>
          <w:rFonts w:ascii="宋体" w:hAnsi="宋体" w:eastAsia="宋体" w:cs="Arial"/>
          <w:sz w:val="24"/>
        </w:rPr>
        <w:t>。</w:t>
      </w:r>
    </w:p>
    <w:p w14:paraId="1A1A5B2A">
      <w:pPr>
        <w:numPr>
          <w:ilvl w:val="0"/>
          <w:numId w:val="4"/>
        </w:numPr>
        <w:spacing w:before="120" w:after="120" w:line="360" w:lineRule="auto"/>
        <w:ind w:firstLine="480" w:firstLineChars="200"/>
        <w:rPr>
          <w:rFonts w:hint="eastAsia" w:ascii="宋体" w:hAnsi="宋体" w:eastAsia="宋体" w:cs="Arial"/>
          <w:bCs/>
          <w:sz w:val="24"/>
        </w:rPr>
      </w:pPr>
      <w:r>
        <w:rPr>
          <w:rFonts w:hint="eastAsia" w:ascii="宋体" w:hAnsi="宋体" w:eastAsia="宋体" w:cs="Arial"/>
          <w:bCs/>
          <w:sz w:val="24"/>
        </w:rPr>
        <w:t>非生产商须提供所投品牌产品</w:t>
      </w:r>
      <w:r>
        <w:rPr>
          <w:rFonts w:hint="eastAsia" w:ascii="宋体" w:hAnsi="宋体" w:eastAsia="宋体" w:cs="Arial"/>
          <w:b/>
          <w:sz w:val="24"/>
        </w:rPr>
        <w:t>生产厂商的营业执照、食品生产许可证和委托经销证明</w:t>
      </w:r>
      <w:r>
        <w:rPr>
          <w:rFonts w:hint="eastAsia" w:ascii="宋体" w:hAnsi="宋体" w:eastAsia="宋体" w:cs="Arial"/>
          <w:bCs/>
          <w:sz w:val="24"/>
        </w:rPr>
        <w:t>。</w:t>
      </w:r>
    </w:p>
    <w:p w14:paraId="7544BFC3">
      <w:pPr>
        <w:numPr>
          <w:ilvl w:val="0"/>
          <w:numId w:val="4"/>
        </w:numPr>
        <w:spacing w:before="120" w:after="120" w:line="360" w:lineRule="auto"/>
        <w:ind w:firstLine="480" w:firstLineChars="200"/>
        <w:rPr>
          <w:rFonts w:hint="eastAsia" w:ascii="宋体" w:hAnsi="宋体" w:eastAsia="宋体" w:cs="Arial"/>
          <w:bCs/>
          <w:sz w:val="24"/>
        </w:rPr>
      </w:pPr>
      <w:r>
        <w:rPr>
          <w:rFonts w:ascii="宋体" w:hAnsi="宋体" w:eastAsia="宋体" w:cs="Arial"/>
          <w:bCs/>
          <w:sz w:val="24"/>
        </w:rPr>
        <w:t>202</w:t>
      </w:r>
      <w:r>
        <w:rPr>
          <w:rFonts w:hint="eastAsia" w:ascii="宋体" w:hAnsi="宋体" w:eastAsia="宋体" w:cs="Arial"/>
          <w:bCs/>
          <w:sz w:val="24"/>
        </w:rPr>
        <w:t>3</w:t>
      </w:r>
      <w:r>
        <w:rPr>
          <w:rFonts w:ascii="宋体" w:hAnsi="宋体" w:eastAsia="宋体" w:cs="Arial"/>
          <w:bCs/>
          <w:sz w:val="24"/>
        </w:rPr>
        <w:t>年1月1日至今，</w:t>
      </w:r>
      <w:r>
        <w:rPr>
          <w:rFonts w:hint="eastAsia" w:ascii="宋体" w:hAnsi="宋体" w:eastAsia="宋体" w:cs="Arial"/>
          <w:bCs/>
          <w:sz w:val="24"/>
        </w:rPr>
        <w:t>未发生</w:t>
      </w:r>
      <w:r>
        <w:rPr>
          <w:rFonts w:ascii="宋体" w:hAnsi="宋体" w:eastAsia="宋体" w:cs="Arial"/>
          <w:bCs/>
          <w:sz w:val="24"/>
        </w:rPr>
        <w:t>因食品安全事故或查实食品安全舆情事件受到政府食品安全监督部门通报或处罚的情况</w:t>
      </w:r>
      <w:r>
        <w:rPr>
          <w:rFonts w:hint="eastAsia" w:ascii="宋体" w:hAnsi="宋体" w:eastAsia="宋体" w:cs="Arial"/>
          <w:bCs/>
          <w:sz w:val="24"/>
        </w:rPr>
        <w:t>。</w:t>
      </w:r>
    </w:p>
    <w:p w14:paraId="00280904">
      <w:pPr>
        <w:numPr>
          <w:ilvl w:val="0"/>
          <w:numId w:val="4"/>
        </w:numPr>
        <w:spacing w:before="120" w:after="120" w:line="360" w:lineRule="auto"/>
        <w:ind w:firstLine="480" w:firstLineChars="200"/>
        <w:rPr>
          <w:rFonts w:hint="eastAsia" w:ascii="宋体" w:hAnsi="宋体" w:eastAsia="宋体" w:cs="Arial"/>
          <w:bCs/>
          <w:sz w:val="24"/>
        </w:rPr>
      </w:pPr>
      <w:r>
        <w:rPr>
          <w:rFonts w:ascii="宋体" w:hAnsi="宋体" w:eastAsia="宋体" w:cs="Arial"/>
          <w:sz w:val="24"/>
        </w:rPr>
        <w:t>本项目</w:t>
      </w:r>
      <w:r>
        <w:rPr>
          <w:rFonts w:ascii="宋体" w:hAnsi="宋体" w:eastAsia="宋体" w:cs="Arial"/>
          <w:b/>
          <w:sz w:val="24"/>
        </w:rPr>
        <w:t>不接受联合体遴选</w:t>
      </w:r>
      <w:r>
        <w:rPr>
          <w:rFonts w:ascii="宋体" w:hAnsi="宋体" w:eastAsia="宋体" w:cs="Arial"/>
          <w:sz w:val="24"/>
        </w:rPr>
        <w:t>，不允许转包、分包。</w:t>
      </w:r>
    </w:p>
    <w:p w14:paraId="1AEE9F1E">
      <w:pPr>
        <w:pStyle w:val="12"/>
        <w:numPr>
          <w:ilvl w:val="0"/>
          <w:numId w:val="1"/>
        </w:numPr>
        <w:spacing w:before="320" w:after="120" w:line="360" w:lineRule="auto"/>
        <w:ind w:left="0" w:firstLine="482"/>
        <w:outlineLvl w:val="1"/>
        <w:rPr>
          <w:rFonts w:hint="eastAsia" w:ascii="宋体" w:hAnsi="宋体" w:eastAsia="宋体" w:cs="Arial"/>
          <w:b/>
          <w:sz w:val="24"/>
        </w:rPr>
      </w:pPr>
      <w:bookmarkStart w:id="5" w:name="heading_7"/>
      <w:r>
        <w:rPr>
          <w:rFonts w:ascii="宋体" w:hAnsi="宋体" w:eastAsia="宋体" w:cs="Arial"/>
          <w:b/>
          <w:sz w:val="24"/>
        </w:rPr>
        <w:t>响应文件递交</w:t>
      </w:r>
      <w:bookmarkEnd w:id="5"/>
    </w:p>
    <w:p w14:paraId="4F5B125F">
      <w:pPr>
        <w:numPr>
          <w:ilvl w:val="0"/>
          <w:numId w:val="5"/>
        </w:numPr>
        <w:spacing w:before="120" w:after="120" w:line="360" w:lineRule="auto"/>
        <w:ind w:firstLine="482" w:firstLineChars="200"/>
        <w:rPr>
          <w:rFonts w:hint="eastAsia" w:ascii="宋体" w:hAnsi="宋体" w:eastAsia="宋体"/>
          <w:sz w:val="24"/>
        </w:rPr>
      </w:pPr>
      <w:r>
        <w:rPr>
          <w:rFonts w:ascii="宋体" w:hAnsi="宋体" w:eastAsia="宋体" w:cs="Arial"/>
          <w:b/>
          <w:sz w:val="24"/>
        </w:rPr>
        <w:t>递交地址</w:t>
      </w:r>
      <w:r>
        <w:rPr>
          <w:rFonts w:ascii="宋体" w:hAnsi="宋体" w:eastAsia="宋体" w:cs="Arial"/>
          <w:sz w:val="24"/>
        </w:rPr>
        <w:t>：广东省广州市海珠区新港西路135号中山大学园东区111号饮食服务中心采购部；</w:t>
      </w:r>
    </w:p>
    <w:p w14:paraId="0904A59C">
      <w:pPr>
        <w:pStyle w:val="12"/>
        <w:numPr>
          <w:ilvl w:val="0"/>
          <w:numId w:val="5"/>
        </w:numPr>
        <w:ind w:firstLineChars="0"/>
        <w:rPr>
          <w:rFonts w:hint="eastAsia" w:ascii="宋体" w:hAnsi="宋体" w:eastAsia="宋体"/>
          <w:sz w:val="24"/>
        </w:rPr>
      </w:pPr>
      <w:r>
        <w:rPr>
          <w:rFonts w:hint="eastAsia" w:ascii="宋体" w:hAnsi="宋体" w:eastAsia="宋体"/>
          <w:b/>
          <w:bCs/>
          <w:sz w:val="24"/>
        </w:rPr>
        <w:t>联系人</w:t>
      </w:r>
      <w:r>
        <w:rPr>
          <w:rFonts w:hint="eastAsia" w:ascii="宋体" w:hAnsi="宋体" w:eastAsia="宋体"/>
          <w:sz w:val="24"/>
        </w:rPr>
        <w:t>：刘先生；联系电话：020-84113931 。</w:t>
      </w:r>
    </w:p>
    <w:p w14:paraId="1F6E9AAB">
      <w:pPr>
        <w:pStyle w:val="12"/>
        <w:numPr>
          <w:ilvl w:val="0"/>
          <w:numId w:val="5"/>
        </w:numPr>
        <w:ind w:firstLineChars="0"/>
        <w:rPr>
          <w:rFonts w:hint="eastAsia" w:ascii="宋体" w:hAnsi="宋体" w:eastAsia="宋体"/>
          <w:sz w:val="24"/>
        </w:rPr>
      </w:pPr>
      <w:r>
        <w:rPr>
          <w:rFonts w:ascii="宋体" w:hAnsi="宋体" w:eastAsia="宋体" w:cs="Arial"/>
          <w:b/>
          <w:sz w:val="24"/>
        </w:rPr>
        <w:t>递交截止时间</w:t>
      </w:r>
      <w:r>
        <w:rPr>
          <w:rFonts w:ascii="宋体" w:hAnsi="宋体" w:eastAsia="宋体" w:cs="Arial"/>
          <w:sz w:val="24"/>
        </w:rPr>
        <w:t>：202</w:t>
      </w:r>
      <w:r>
        <w:rPr>
          <w:rFonts w:ascii="宋体" w:hAnsi="宋体" w:eastAsia="宋体" w:cs="Arial"/>
          <w:color w:val="000000" w:themeColor="text1"/>
          <w:sz w:val="24"/>
          <w14:textFill>
            <w14:solidFill>
              <w14:schemeClr w14:val="tx1"/>
            </w14:solidFill>
          </w14:textFill>
        </w:rPr>
        <w:t>6年</w:t>
      </w:r>
      <w:r>
        <w:rPr>
          <w:rFonts w:hint="eastAsia" w:ascii="宋体" w:hAnsi="宋体" w:eastAsia="宋体" w:cs="Arial"/>
          <w:color w:val="000000" w:themeColor="text1"/>
          <w:sz w:val="24"/>
          <w:lang w:val="en-US" w:eastAsia="zh-CN"/>
          <w14:textFill>
            <w14:solidFill>
              <w14:schemeClr w14:val="tx1"/>
            </w14:solidFill>
          </w14:textFill>
        </w:rPr>
        <w:t>7</w:t>
      </w:r>
      <w:r>
        <w:rPr>
          <w:rFonts w:hint="eastAsia" w:ascii="宋体" w:hAnsi="宋体" w:eastAsia="宋体" w:cs="Arial"/>
          <w:color w:val="000000" w:themeColor="text1"/>
          <w:sz w:val="24"/>
          <w14:textFill>
            <w14:solidFill>
              <w14:schemeClr w14:val="tx1"/>
            </w14:solidFill>
          </w14:textFill>
        </w:rPr>
        <w:t xml:space="preserve"> </w:t>
      </w:r>
      <w:r>
        <w:rPr>
          <w:rFonts w:ascii="宋体" w:hAnsi="宋体" w:eastAsia="宋体" w:cs="Arial"/>
          <w:color w:val="000000" w:themeColor="text1"/>
          <w:sz w:val="24"/>
          <w14:textFill>
            <w14:solidFill>
              <w14:schemeClr w14:val="tx1"/>
            </w14:solidFill>
          </w14:textFill>
        </w:rPr>
        <w:t>月</w:t>
      </w:r>
      <w:r>
        <w:rPr>
          <w:rFonts w:hint="eastAsia" w:ascii="宋体" w:hAnsi="宋体" w:eastAsia="宋体" w:cs="Arial"/>
          <w:color w:val="000000" w:themeColor="text1"/>
          <w:sz w:val="24"/>
          <w:lang w:val="en-US" w:eastAsia="zh-CN"/>
          <w14:textFill>
            <w14:solidFill>
              <w14:schemeClr w14:val="tx1"/>
            </w14:solidFill>
          </w14:textFill>
        </w:rPr>
        <w:t>27</w:t>
      </w:r>
      <w:r>
        <w:rPr>
          <w:rFonts w:ascii="宋体" w:hAnsi="宋体" w:eastAsia="宋体" w:cs="Arial"/>
          <w:color w:val="000000" w:themeColor="text1"/>
          <w:sz w:val="24"/>
          <w14:textFill>
            <w14:solidFill>
              <w14:schemeClr w14:val="tx1"/>
            </w14:solidFill>
          </w14:textFill>
        </w:rPr>
        <w:t>日中午12</w:t>
      </w:r>
      <w:r>
        <w:rPr>
          <w:rFonts w:ascii="宋体" w:hAnsi="宋体" w:eastAsia="宋体" w:cs="Arial"/>
          <w:sz w:val="24"/>
        </w:rPr>
        <w:t>:00（逾期送达、未按要求密封的响应文件，采购方有权拒收）；</w:t>
      </w:r>
    </w:p>
    <w:p w14:paraId="61F3AFF4">
      <w:pPr>
        <w:pStyle w:val="12"/>
        <w:numPr>
          <w:ilvl w:val="0"/>
          <w:numId w:val="5"/>
        </w:numPr>
        <w:ind w:firstLineChars="0"/>
        <w:rPr>
          <w:rFonts w:hint="eastAsia" w:ascii="宋体" w:hAnsi="宋体" w:eastAsia="宋体"/>
          <w:sz w:val="24"/>
        </w:rPr>
      </w:pPr>
      <w:r>
        <w:rPr>
          <w:rFonts w:ascii="宋体" w:hAnsi="宋体" w:eastAsia="宋体" w:cs="Arial"/>
          <w:b/>
          <w:sz w:val="24"/>
        </w:rPr>
        <w:t>递交要求</w:t>
      </w:r>
      <w:r>
        <w:rPr>
          <w:rFonts w:ascii="宋体" w:hAnsi="宋体" w:eastAsia="宋体" w:cs="Arial"/>
          <w:sz w:val="24"/>
        </w:rPr>
        <w:t>：</w:t>
      </w:r>
    </w:p>
    <w:p w14:paraId="5CB1FCE1">
      <w:pPr>
        <w:pStyle w:val="12"/>
        <w:numPr>
          <w:ilvl w:val="0"/>
          <w:numId w:val="6"/>
        </w:numPr>
        <w:spacing w:before="120" w:after="120" w:line="360" w:lineRule="auto"/>
        <w:ind w:left="0" w:firstLine="566" w:firstLineChars="235"/>
        <w:rPr>
          <w:rFonts w:hint="eastAsia" w:ascii="宋体" w:hAnsi="宋体" w:eastAsia="宋体"/>
          <w:sz w:val="24"/>
        </w:rPr>
      </w:pPr>
      <w:r>
        <w:rPr>
          <w:rFonts w:hint="eastAsia" w:ascii="宋体" w:hAnsi="宋体" w:eastAsia="宋体" w:cs="Arial"/>
          <w:b/>
          <w:bCs/>
          <w:sz w:val="24"/>
        </w:rPr>
        <w:t>每个子包响应文件单独制作</w:t>
      </w:r>
      <w:r>
        <w:rPr>
          <w:rFonts w:hint="eastAsia" w:ascii="宋体" w:hAnsi="宋体" w:eastAsia="宋体" w:cs="Arial"/>
          <w:sz w:val="24"/>
        </w:rPr>
        <w:t>，</w:t>
      </w:r>
      <w:r>
        <w:rPr>
          <w:rFonts w:ascii="宋体" w:hAnsi="宋体" w:eastAsia="宋体" w:cs="Arial"/>
          <w:sz w:val="24"/>
        </w:rPr>
        <w:t>响应文件含</w:t>
      </w:r>
      <w:r>
        <w:rPr>
          <w:rFonts w:ascii="宋体" w:hAnsi="宋体" w:eastAsia="宋体" w:cs="Arial"/>
          <w:b/>
          <w:sz w:val="24"/>
        </w:rPr>
        <w:t>正本1份、副本1份、U盘1个</w:t>
      </w:r>
      <w:r>
        <w:rPr>
          <w:rFonts w:ascii="宋体" w:hAnsi="宋体" w:eastAsia="宋体" w:cs="Arial"/>
          <w:sz w:val="24"/>
        </w:rPr>
        <w:t>（U盘内为响应文件正本盖章扫描版，价格部分额外提供Excel版）；</w:t>
      </w:r>
    </w:p>
    <w:p w14:paraId="333F2A64">
      <w:pPr>
        <w:pStyle w:val="12"/>
        <w:numPr>
          <w:ilvl w:val="0"/>
          <w:numId w:val="6"/>
        </w:numPr>
        <w:spacing w:before="120" w:after="120" w:line="360" w:lineRule="auto"/>
        <w:ind w:left="0" w:firstLine="567" w:firstLineChars="0"/>
        <w:rPr>
          <w:rFonts w:hint="eastAsia" w:ascii="宋体" w:hAnsi="宋体" w:eastAsia="宋体"/>
          <w:sz w:val="24"/>
        </w:rPr>
      </w:pPr>
      <w:r>
        <w:rPr>
          <w:rFonts w:ascii="宋体" w:hAnsi="宋体" w:eastAsia="宋体" w:cs="Arial"/>
          <w:sz w:val="24"/>
        </w:rPr>
        <w:t>响应文件装订成册，列明目录及页码；正本打印并由法定代表人/授权委托人签字+加盖公章，副本可复印但须加盖公章；</w:t>
      </w:r>
    </w:p>
    <w:p w14:paraId="194A1253">
      <w:pPr>
        <w:pStyle w:val="12"/>
        <w:numPr>
          <w:ilvl w:val="0"/>
          <w:numId w:val="6"/>
        </w:numPr>
        <w:spacing w:before="120" w:after="120" w:line="360" w:lineRule="auto"/>
        <w:ind w:left="0" w:firstLine="567" w:firstLineChars="0"/>
        <w:rPr>
          <w:rFonts w:hint="eastAsia" w:ascii="宋体" w:hAnsi="宋体" w:eastAsia="宋体"/>
          <w:sz w:val="24"/>
        </w:rPr>
      </w:pPr>
      <w:r>
        <w:rPr>
          <w:rFonts w:ascii="宋体" w:hAnsi="宋体" w:eastAsia="宋体" w:cs="Arial"/>
          <w:b/>
          <w:sz w:val="24"/>
        </w:rPr>
        <w:t>资质商务技术文件与价格文件单独密封</w:t>
      </w:r>
      <w:r>
        <w:rPr>
          <w:rFonts w:ascii="宋体" w:hAnsi="宋体" w:eastAsia="宋体" w:cs="Arial"/>
          <w:sz w:val="24"/>
        </w:rPr>
        <w:t>，密封袋注明：项目名称、子包号</w:t>
      </w:r>
      <w:r>
        <w:rPr>
          <w:rFonts w:hint="eastAsia" w:ascii="宋体" w:hAnsi="宋体" w:eastAsia="宋体" w:cs="Arial"/>
          <w:sz w:val="24"/>
        </w:rPr>
        <w:t>（如有）</w:t>
      </w:r>
      <w:r>
        <w:rPr>
          <w:rFonts w:ascii="宋体" w:hAnsi="宋体" w:eastAsia="宋体" w:cs="Arial"/>
          <w:sz w:val="24"/>
        </w:rPr>
        <w:t>、供应商全称，边缝加盖骑缝章，并标注“遴选前不得启封”；</w:t>
      </w:r>
    </w:p>
    <w:p w14:paraId="49ADC561">
      <w:pPr>
        <w:pStyle w:val="12"/>
        <w:numPr>
          <w:ilvl w:val="0"/>
          <w:numId w:val="6"/>
        </w:numPr>
        <w:spacing w:before="120" w:after="120" w:line="360" w:lineRule="auto"/>
        <w:ind w:left="0" w:firstLine="567" w:firstLineChars="0"/>
        <w:rPr>
          <w:rFonts w:hint="eastAsia" w:ascii="宋体" w:hAnsi="宋体" w:eastAsia="宋体"/>
          <w:sz w:val="24"/>
        </w:rPr>
      </w:pPr>
      <w:r>
        <w:rPr>
          <w:rFonts w:hint="eastAsia" w:ascii="宋体" w:hAnsi="宋体" w:eastAsia="宋体" w:cs="Arial"/>
          <w:sz w:val="24"/>
        </w:rPr>
        <w:t>按要求提交</w:t>
      </w:r>
      <w:r>
        <w:rPr>
          <w:rFonts w:hint="eastAsia" w:ascii="宋体" w:hAnsi="宋体" w:eastAsia="宋体" w:cs="Arial"/>
          <w:b/>
          <w:sz w:val="24"/>
        </w:rPr>
        <w:t>投标样板</w:t>
      </w:r>
      <w:r>
        <w:rPr>
          <w:rFonts w:hint="eastAsia" w:ascii="宋体" w:hAnsi="宋体" w:eastAsia="宋体" w:cs="Arial"/>
          <w:sz w:val="24"/>
        </w:rPr>
        <w:t>，附件8报价</w:t>
      </w:r>
      <w:r>
        <w:rPr>
          <w:rFonts w:hint="eastAsia" w:ascii="宋体" w:hAnsi="宋体" w:eastAsia="宋体" w:cs="Arial"/>
          <w:b/>
          <w:bCs/>
          <w:sz w:val="24"/>
        </w:rPr>
        <w:t>清单</w:t>
      </w:r>
      <w:r>
        <w:rPr>
          <w:rFonts w:hint="eastAsia" w:ascii="宋体" w:hAnsi="宋体" w:eastAsia="宋体" w:cs="宋体"/>
          <w:b/>
          <w:bCs/>
          <w:sz w:val="24"/>
        </w:rPr>
        <w:t>每个品种送样数量不得少于各4个</w:t>
      </w:r>
      <w:r>
        <w:rPr>
          <w:rFonts w:hint="eastAsia" w:ascii="宋体" w:hAnsi="宋体" w:eastAsia="宋体" w:cs="宋体"/>
          <w:sz w:val="24"/>
        </w:rPr>
        <w:t>，送样标签要注明，品种名称、月饼类型（传统/新式等）、饼皮、馅料、单个重量等；</w:t>
      </w:r>
      <w:r>
        <w:rPr>
          <w:rFonts w:ascii="宋体" w:hAnsi="宋体" w:eastAsia="宋体" w:cs="宋体"/>
          <w:sz w:val="24"/>
        </w:rPr>
        <w:t>样</w:t>
      </w:r>
      <w:r>
        <w:rPr>
          <w:rFonts w:hint="eastAsia" w:ascii="宋体" w:hAnsi="宋体" w:eastAsia="宋体" w:cs="宋体"/>
          <w:sz w:val="24"/>
        </w:rPr>
        <w:t>板</w:t>
      </w:r>
      <w:r>
        <w:rPr>
          <w:rFonts w:ascii="宋体" w:hAnsi="宋体" w:eastAsia="宋体" w:cs="宋体"/>
          <w:sz w:val="24"/>
        </w:rPr>
        <w:t>均不予以退回</w:t>
      </w:r>
      <w:r>
        <w:rPr>
          <w:rFonts w:hint="eastAsia" w:ascii="宋体" w:hAnsi="宋体" w:eastAsia="宋体" w:cs="宋体"/>
          <w:sz w:val="24"/>
        </w:rPr>
        <w:t>。</w:t>
      </w:r>
    </w:p>
    <w:p w14:paraId="2A7A022A">
      <w:pPr>
        <w:pStyle w:val="12"/>
        <w:numPr>
          <w:ilvl w:val="0"/>
          <w:numId w:val="1"/>
        </w:numPr>
        <w:spacing w:before="320" w:after="120" w:line="360" w:lineRule="auto"/>
        <w:ind w:left="0" w:firstLine="482"/>
        <w:outlineLvl w:val="1"/>
        <w:rPr>
          <w:rFonts w:hint="eastAsia" w:ascii="宋体" w:hAnsi="宋体" w:eastAsia="宋体" w:cs="Arial"/>
          <w:b/>
          <w:sz w:val="24"/>
        </w:rPr>
      </w:pPr>
      <w:bookmarkStart w:id="6" w:name="heading_9"/>
      <w:r>
        <w:rPr>
          <w:rFonts w:hint="eastAsia" w:ascii="宋体" w:hAnsi="宋体" w:eastAsia="宋体" w:cs="Arial"/>
          <w:b/>
          <w:sz w:val="24"/>
        </w:rPr>
        <w:t>中选候选人推荐：</w:t>
      </w:r>
    </w:p>
    <w:p w14:paraId="25B1DCA0">
      <w:pPr>
        <w:spacing w:before="120" w:after="120" w:line="360" w:lineRule="auto"/>
        <w:ind w:firstLine="480" w:firstLineChars="200"/>
        <w:rPr>
          <w:rFonts w:hint="eastAsia" w:ascii="宋体" w:hAnsi="宋体" w:eastAsia="宋体" w:cs="Arial"/>
          <w:bCs/>
          <w:sz w:val="24"/>
        </w:rPr>
      </w:pPr>
      <w:r>
        <w:rPr>
          <w:rFonts w:hint="eastAsia" w:ascii="宋体" w:hAnsi="宋体" w:eastAsia="宋体" w:cs="Arial"/>
          <w:bCs/>
          <w:sz w:val="24"/>
        </w:rPr>
        <w:t>按各子包供应商的综合总得分由高到低顺序排列，各子包</w:t>
      </w:r>
      <w:r>
        <w:rPr>
          <w:rFonts w:hint="eastAsia" w:ascii="宋体" w:hAnsi="宋体" w:eastAsia="宋体" w:cs="Arial"/>
          <w:b/>
          <w:sz w:val="24"/>
        </w:rPr>
        <w:t>推荐综合得分排名第一供应商为中选候选单位，推荐综合得分排名第二供应商为第二中选候选单位（备选单位）。本项目</w:t>
      </w:r>
      <w:r>
        <w:rPr>
          <w:rFonts w:ascii="宋体" w:hAnsi="宋体" w:eastAsia="宋体" w:cs="Arial"/>
          <w:b/>
          <w:sz w:val="24"/>
        </w:rPr>
        <w:t>任意子包</w:t>
      </w:r>
      <w:r>
        <w:rPr>
          <w:rFonts w:hint="eastAsia" w:ascii="宋体" w:hAnsi="宋体" w:eastAsia="宋体" w:cs="Arial"/>
          <w:b/>
          <w:sz w:val="24"/>
        </w:rPr>
        <w:t>若通过符合性审查的供应商不足3名时，本项目相应子包为采购失败</w:t>
      </w:r>
      <w:r>
        <w:rPr>
          <w:rFonts w:hint="eastAsia" w:ascii="宋体" w:hAnsi="宋体" w:eastAsia="宋体" w:cs="Arial"/>
          <w:bCs/>
          <w:sz w:val="24"/>
        </w:rPr>
        <w:t>，采购方分析采购失败原因，修正采购方案，报有关管理部门核准后，重新组织采购。</w:t>
      </w:r>
    </w:p>
    <w:p w14:paraId="3369B806">
      <w:pPr>
        <w:pStyle w:val="12"/>
        <w:numPr>
          <w:ilvl w:val="0"/>
          <w:numId w:val="1"/>
        </w:numPr>
        <w:spacing w:before="320" w:after="120" w:line="360" w:lineRule="auto"/>
        <w:ind w:left="0" w:firstLine="482"/>
        <w:outlineLvl w:val="1"/>
        <w:rPr>
          <w:rFonts w:hint="eastAsia" w:ascii="宋体" w:hAnsi="宋体" w:eastAsia="宋体" w:cs="Arial"/>
          <w:b/>
          <w:sz w:val="24"/>
        </w:rPr>
      </w:pPr>
      <w:r>
        <w:rPr>
          <w:rFonts w:ascii="宋体" w:hAnsi="宋体" w:eastAsia="宋体" w:cs="Arial"/>
          <w:b/>
          <w:sz w:val="24"/>
        </w:rPr>
        <w:t>纪检监察及联系方式</w:t>
      </w:r>
      <w:bookmarkEnd w:id="6"/>
    </w:p>
    <w:p w14:paraId="79C5861C">
      <w:pPr>
        <w:numPr>
          <w:ilvl w:val="0"/>
          <w:numId w:val="7"/>
        </w:numPr>
        <w:spacing w:before="120" w:after="120" w:line="360" w:lineRule="auto"/>
        <w:ind w:firstLine="480" w:firstLineChars="200"/>
        <w:rPr>
          <w:rFonts w:hint="eastAsia" w:ascii="宋体" w:hAnsi="宋体" w:eastAsia="宋体"/>
          <w:sz w:val="24"/>
        </w:rPr>
      </w:pPr>
      <w:r>
        <w:rPr>
          <w:rFonts w:ascii="宋体" w:hAnsi="宋体" w:eastAsia="宋体" w:cs="Arial"/>
          <w:sz w:val="24"/>
        </w:rPr>
        <w:t>纪检监察电话：020-84115282；</w:t>
      </w:r>
    </w:p>
    <w:p w14:paraId="29B6C866">
      <w:pPr>
        <w:numPr>
          <w:ilvl w:val="0"/>
          <w:numId w:val="7"/>
        </w:numPr>
        <w:spacing w:before="120" w:after="120" w:line="360" w:lineRule="auto"/>
        <w:ind w:firstLine="480" w:firstLineChars="200"/>
        <w:rPr>
          <w:rFonts w:hint="eastAsia" w:ascii="宋体" w:hAnsi="宋体" w:eastAsia="宋体"/>
          <w:sz w:val="24"/>
        </w:rPr>
      </w:pPr>
      <w:r>
        <w:rPr>
          <w:rFonts w:ascii="宋体" w:hAnsi="宋体" w:eastAsia="宋体" w:cs="Arial"/>
          <w:sz w:val="24"/>
        </w:rPr>
        <w:t>举报邮箱：</w:t>
      </w:r>
      <w:r>
        <w:fldChar w:fldCharType="begin"/>
      </w:r>
      <w:r>
        <w:instrText xml:space="preserve"> HYPERLINK "mailto:mengxli@mail.sysu.edu.cn" \h </w:instrText>
      </w:r>
      <w:r>
        <w:fldChar w:fldCharType="separate"/>
      </w:r>
      <w:r>
        <w:rPr>
          <w:rFonts w:ascii="宋体" w:hAnsi="宋体" w:eastAsia="宋体" w:cs="Arial"/>
          <w:sz w:val="24"/>
        </w:rPr>
        <w:t>mengxli@mail.sysu.edu.cn</w:t>
      </w:r>
      <w:r>
        <w:rPr>
          <w:rFonts w:ascii="宋体" w:hAnsi="宋体" w:eastAsia="宋体" w:cs="Arial"/>
          <w:sz w:val="24"/>
        </w:rPr>
        <w:fldChar w:fldCharType="end"/>
      </w:r>
      <w:r>
        <w:rPr>
          <w:rFonts w:ascii="宋体" w:hAnsi="宋体" w:eastAsia="宋体" w:cs="Arial"/>
          <w:sz w:val="24"/>
        </w:rPr>
        <w:t>；</w:t>
      </w:r>
    </w:p>
    <w:p w14:paraId="6432BE01">
      <w:pPr>
        <w:widowControl/>
        <w:ind w:firstLine="480" w:firstLineChars="200"/>
        <w:rPr>
          <w:rFonts w:hint="eastAsia" w:ascii="宋体" w:hAnsi="宋体" w:eastAsia="宋体"/>
          <w:sz w:val="24"/>
        </w:rPr>
      </w:pPr>
      <w:bookmarkStart w:id="7" w:name="heading_10"/>
      <w:r>
        <w:rPr>
          <w:rFonts w:hint="eastAsia" w:ascii="宋体" w:hAnsi="宋体" w:eastAsia="宋体"/>
          <w:sz w:val="24"/>
        </w:rPr>
        <w:br w:type="page"/>
      </w:r>
    </w:p>
    <w:p w14:paraId="09B01B1C">
      <w:pPr>
        <w:spacing w:before="380" w:after="140" w:line="360" w:lineRule="auto"/>
        <w:ind w:firstLine="482" w:firstLineChars="200"/>
        <w:jc w:val="center"/>
        <w:outlineLvl w:val="0"/>
        <w:rPr>
          <w:rFonts w:hint="eastAsia" w:ascii="宋体" w:hAnsi="宋体" w:eastAsia="宋体"/>
          <w:sz w:val="24"/>
        </w:rPr>
      </w:pPr>
      <w:r>
        <w:rPr>
          <w:rFonts w:ascii="宋体" w:hAnsi="宋体" w:eastAsia="宋体" w:cs="Arial"/>
          <w:b/>
          <w:sz w:val="24"/>
        </w:rPr>
        <w:t>第二部分 采购需求</w:t>
      </w:r>
      <w:bookmarkEnd w:id="7"/>
    </w:p>
    <w:p w14:paraId="440CC67B">
      <w:pPr>
        <w:pStyle w:val="12"/>
        <w:numPr>
          <w:ilvl w:val="0"/>
          <w:numId w:val="8"/>
        </w:numPr>
        <w:spacing w:before="320" w:after="120" w:line="360" w:lineRule="auto"/>
        <w:ind w:firstLine="57" w:firstLineChars="0"/>
        <w:outlineLvl w:val="1"/>
        <w:rPr>
          <w:rFonts w:hint="eastAsia" w:ascii="宋体" w:hAnsi="宋体" w:eastAsia="宋体" w:cs="Arial"/>
          <w:b/>
          <w:sz w:val="24"/>
        </w:rPr>
      </w:pPr>
      <w:bookmarkStart w:id="8" w:name="heading_11"/>
      <w:r>
        <w:rPr>
          <w:rFonts w:ascii="宋体" w:hAnsi="宋体" w:eastAsia="宋体" w:cs="Arial"/>
          <w:b/>
          <w:sz w:val="24"/>
        </w:rPr>
        <w:t>总体要求</w:t>
      </w:r>
      <w:bookmarkEnd w:id="8"/>
    </w:p>
    <w:p w14:paraId="39273733">
      <w:pPr>
        <w:numPr>
          <w:ilvl w:val="0"/>
          <w:numId w:val="9"/>
        </w:numPr>
        <w:spacing w:before="120" w:after="120" w:line="360" w:lineRule="auto"/>
        <w:ind w:firstLine="480" w:firstLineChars="200"/>
        <w:rPr>
          <w:rFonts w:hint="eastAsia" w:ascii="宋体" w:hAnsi="宋体" w:eastAsia="宋体"/>
          <w:sz w:val="24"/>
        </w:rPr>
      </w:pPr>
      <w:r>
        <w:rPr>
          <w:rFonts w:ascii="宋体" w:hAnsi="宋体" w:eastAsia="宋体" w:cs="Arial"/>
          <w:sz w:val="24"/>
        </w:rPr>
        <w:t>供应商提供的物资须符合《食品安全法》《农产品质量安全法》等国家食品安全相关标准；</w:t>
      </w:r>
      <w:r>
        <w:rPr>
          <w:rFonts w:hint="eastAsia" w:ascii="宋体" w:hAnsi="宋体" w:eastAsia="宋体" w:cs="Arial"/>
          <w:sz w:val="24"/>
        </w:rPr>
        <w:t>需有包装，包装上的品名、厂名厂址、生产日期、保质期、配料等应齐全、清晰</w:t>
      </w:r>
      <w:r>
        <w:rPr>
          <w:rFonts w:ascii="宋体" w:hAnsi="宋体" w:eastAsia="宋体" w:cs="Arial"/>
          <w:sz w:val="24"/>
        </w:rPr>
        <w:t>。</w:t>
      </w:r>
    </w:p>
    <w:p w14:paraId="307D6330">
      <w:pPr>
        <w:numPr>
          <w:ilvl w:val="0"/>
          <w:numId w:val="9"/>
        </w:numPr>
        <w:spacing w:before="120" w:after="120" w:line="360" w:lineRule="auto"/>
        <w:ind w:firstLine="480" w:firstLineChars="200"/>
        <w:rPr>
          <w:rFonts w:hint="eastAsia" w:ascii="宋体" w:hAnsi="宋体" w:eastAsia="宋体"/>
          <w:sz w:val="24"/>
        </w:rPr>
      </w:pPr>
      <w:r>
        <w:rPr>
          <w:rFonts w:hint="eastAsia" w:ascii="宋体" w:hAnsi="宋体" w:eastAsia="宋体" w:cs="Arial"/>
          <w:sz w:val="24"/>
        </w:rPr>
        <w:t>供应商须对所投产品、方案、技术、服务等拥有合法的占有和处置权。在法律范围内，如果出现文字、图片、商标和技术等侵权行为而造成的纠纷和产生的一切费用，采购方概不负责，由此给采购方造成损失的，供应商应承担相应后果，并负责赔偿。供应商为执行本项目合同而提供的技术资料等归采购方所有</w:t>
      </w:r>
      <w:r>
        <w:rPr>
          <w:rFonts w:ascii="宋体" w:hAnsi="宋体" w:eastAsia="宋体" w:cs="Arial"/>
          <w:sz w:val="24"/>
        </w:rPr>
        <w:t>。</w:t>
      </w:r>
    </w:p>
    <w:p w14:paraId="5553031A">
      <w:pPr>
        <w:numPr>
          <w:ilvl w:val="0"/>
          <w:numId w:val="9"/>
        </w:numPr>
        <w:spacing w:before="120" w:after="120" w:line="360" w:lineRule="auto"/>
        <w:ind w:firstLine="480" w:firstLineChars="200"/>
        <w:rPr>
          <w:rFonts w:hint="eastAsia" w:ascii="宋体" w:hAnsi="宋体" w:eastAsia="宋体"/>
          <w:sz w:val="24"/>
        </w:rPr>
      </w:pPr>
      <w:r>
        <w:rPr>
          <w:rFonts w:ascii="宋体" w:hAnsi="宋体" w:eastAsia="宋体" w:cs="Arial"/>
          <w:sz w:val="24"/>
        </w:rPr>
        <w:t>采购方以微信/QQ/电话下达订单（含物资名称、规格、数量、配送时间、送达地点），供应商须在接单后30分钟内确认，无正当理由不得拒绝订单。</w:t>
      </w:r>
    </w:p>
    <w:p w14:paraId="6CAACE0A">
      <w:pPr>
        <w:numPr>
          <w:ilvl w:val="0"/>
          <w:numId w:val="9"/>
        </w:numPr>
        <w:spacing w:before="120" w:after="120" w:line="360" w:lineRule="auto"/>
        <w:ind w:firstLine="480" w:firstLineChars="200"/>
        <w:rPr>
          <w:rFonts w:hint="eastAsia" w:ascii="宋体" w:hAnsi="宋体" w:eastAsia="宋体"/>
          <w:sz w:val="24"/>
        </w:rPr>
      </w:pPr>
      <w:r>
        <w:rPr>
          <w:rFonts w:ascii="宋体" w:hAnsi="宋体" w:eastAsia="宋体" w:cs="Arial"/>
          <w:sz w:val="24"/>
        </w:rPr>
        <w:t>物资单价为</w:t>
      </w:r>
      <w:r>
        <w:rPr>
          <w:rFonts w:ascii="宋体" w:hAnsi="宋体" w:eastAsia="宋体" w:cs="Arial"/>
          <w:b/>
          <w:sz w:val="24"/>
        </w:rPr>
        <w:t>综合包干价</w:t>
      </w:r>
      <w:r>
        <w:rPr>
          <w:rFonts w:ascii="宋体" w:hAnsi="宋体" w:eastAsia="宋体" w:cs="Arial"/>
          <w:sz w:val="24"/>
        </w:rPr>
        <w:t>，包括但不限于月饼制作加工、包装（含脱氧剂、干燥剂、独立包装饼托、卷膜等费用）采购、</w:t>
      </w:r>
      <w:r>
        <w:rPr>
          <w:rFonts w:hint="eastAsia" w:ascii="宋体" w:hAnsi="宋体" w:eastAsia="宋体" w:cs="Arial"/>
          <w:sz w:val="24"/>
        </w:rPr>
        <w:t>组装、</w:t>
      </w:r>
      <w:r>
        <w:rPr>
          <w:rFonts w:ascii="宋体" w:hAnsi="宋体" w:eastAsia="宋体" w:cs="Arial"/>
          <w:sz w:val="24"/>
        </w:rPr>
        <w:t>运输（含送货至甲方指定收货地点的运输费、装卸费、搬运费）、损耗、保管、装卸车、配合、协调、检测、办理相关手续、保险、多次搬运、差旅费用、抽检、管理、利润、税金、人工等乙方完成本合同约定义务所需的一切费用。在本合同有效期内，月饼单价不因市场价格波动、工资、费率、税率、汇率的变动或政府颁发的任何调价文件等任何原因而调增。</w:t>
      </w:r>
    </w:p>
    <w:p w14:paraId="6FAF4E6A">
      <w:pPr>
        <w:numPr>
          <w:ilvl w:val="0"/>
          <w:numId w:val="9"/>
        </w:numPr>
        <w:spacing w:before="120" w:after="120" w:line="360" w:lineRule="auto"/>
        <w:ind w:firstLine="480" w:firstLineChars="200"/>
        <w:rPr>
          <w:rFonts w:hint="eastAsia" w:ascii="宋体" w:hAnsi="宋体" w:eastAsia="宋体"/>
          <w:sz w:val="24"/>
        </w:rPr>
      </w:pPr>
      <w:r>
        <w:rPr>
          <w:rFonts w:ascii="宋体" w:hAnsi="宋体" w:eastAsia="宋体" w:cs="Arial"/>
          <w:sz w:val="24"/>
        </w:rPr>
        <w:t>供应商须提供</w:t>
      </w:r>
      <w:r>
        <w:rPr>
          <w:rFonts w:ascii="宋体" w:hAnsi="宋体" w:eastAsia="宋体" w:cs="Arial"/>
          <w:b/>
          <w:sz w:val="24"/>
        </w:rPr>
        <w:t>正规增值税发票</w:t>
      </w:r>
      <w:r>
        <w:rPr>
          <w:rFonts w:ascii="宋体" w:hAnsi="宋体" w:eastAsia="宋体" w:cs="Arial"/>
          <w:sz w:val="24"/>
        </w:rPr>
        <w:t>，发票信息与采购方要求一致，作为货款结算依据。</w:t>
      </w:r>
    </w:p>
    <w:p w14:paraId="33603138">
      <w:pPr>
        <w:pStyle w:val="12"/>
        <w:numPr>
          <w:ilvl w:val="0"/>
          <w:numId w:val="8"/>
        </w:numPr>
        <w:spacing w:before="320" w:after="120" w:line="360" w:lineRule="auto"/>
        <w:ind w:firstLine="57" w:firstLineChars="0"/>
        <w:outlineLvl w:val="1"/>
        <w:rPr>
          <w:rFonts w:hint="eastAsia" w:ascii="宋体" w:hAnsi="宋体" w:eastAsia="宋体" w:cs="Arial"/>
          <w:b/>
          <w:sz w:val="24"/>
        </w:rPr>
      </w:pPr>
      <w:bookmarkStart w:id="9" w:name="heading_12"/>
      <w:r>
        <w:rPr>
          <w:rFonts w:ascii="宋体" w:hAnsi="宋体" w:eastAsia="宋体" w:cs="Arial"/>
          <w:b/>
          <w:sz w:val="24"/>
        </w:rPr>
        <w:t>采购</w:t>
      </w:r>
      <w:bookmarkEnd w:id="9"/>
      <w:r>
        <w:rPr>
          <w:rFonts w:hint="eastAsia" w:ascii="宋体" w:hAnsi="宋体" w:eastAsia="宋体" w:cs="Arial"/>
          <w:b/>
          <w:sz w:val="24"/>
        </w:rPr>
        <w:t>清单</w:t>
      </w:r>
    </w:p>
    <w:p w14:paraId="1E61E5FD">
      <w:pPr>
        <w:spacing w:before="120" w:after="120" w:line="360" w:lineRule="auto"/>
        <w:ind w:left="567"/>
        <w:rPr>
          <w:rFonts w:hint="eastAsia" w:ascii="宋体" w:hAnsi="宋体" w:eastAsia="宋体" w:cs="Arial"/>
          <w:bCs/>
          <w:sz w:val="24"/>
        </w:rPr>
      </w:pPr>
      <w:r>
        <w:rPr>
          <w:rFonts w:hint="eastAsia" w:ascii="宋体" w:hAnsi="宋体" w:eastAsia="宋体" w:cs="Arial"/>
          <w:bCs/>
          <w:sz w:val="24"/>
        </w:rPr>
        <w:t>详见附件8 报价清单</w:t>
      </w:r>
    </w:p>
    <w:p w14:paraId="5CEEC8BD">
      <w:pPr>
        <w:pStyle w:val="12"/>
        <w:numPr>
          <w:ilvl w:val="0"/>
          <w:numId w:val="8"/>
        </w:numPr>
        <w:spacing w:before="320" w:after="120" w:line="360" w:lineRule="auto"/>
        <w:ind w:firstLine="57" w:firstLineChars="0"/>
        <w:outlineLvl w:val="1"/>
        <w:rPr>
          <w:rFonts w:hint="eastAsia" w:ascii="宋体" w:hAnsi="宋体" w:eastAsia="宋体" w:cs="Arial"/>
          <w:b/>
          <w:sz w:val="24"/>
        </w:rPr>
      </w:pPr>
      <w:bookmarkStart w:id="10" w:name="heading_16"/>
      <w:r>
        <w:rPr>
          <w:rFonts w:ascii="宋体" w:hAnsi="宋体" w:eastAsia="宋体" w:cs="Arial"/>
          <w:b/>
          <w:sz w:val="24"/>
        </w:rPr>
        <w:t>配送服务要求</w:t>
      </w:r>
      <w:bookmarkEnd w:id="10"/>
    </w:p>
    <w:p w14:paraId="4F97F41E">
      <w:pPr>
        <w:numPr>
          <w:ilvl w:val="0"/>
          <w:numId w:val="10"/>
        </w:numPr>
        <w:spacing w:before="120" w:after="120" w:line="360" w:lineRule="auto"/>
        <w:ind w:firstLine="482" w:firstLineChars="200"/>
        <w:rPr>
          <w:rFonts w:hint="eastAsia" w:ascii="宋体" w:hAnsi="宋体" w:eastAsia="宋体" w:cs="Arial"/>
          <w:b/>
          <w:sz w:val="24"/>
        </w:rPr>
      </w:pPr>
      <w:r>
        <w:rPr>
          <w:rFonts w:hint="eastAsia" w:ascii="宋体" w:hAnsi="宋体" w:eastAsia="宋体" w:cs="Arial"/>
          <w:b/>
          <w:sz w:val="24"/>
        </w:rPr>
        <w:t>交货时间</w:t>
      </w:r>
      <w:r>
        <w:rPr>
          <w:rFonts w:ascii="宋体" w:hAnsi="宋体" w:eastAsia="宋体" w:cs="Arial"/>
          <w:sz w:val="24"/>
        </w:rPr>
        <w:t>：</w:t>
      </w:r>
      <w:r>
        <w:rPr>
          <w:rFonts w:hint="eastAsia" w:ascii="宋体" w:hAnsi="宋体" w:eastAsia="宋体" w:cs="Arial"/>
          <w:sz w:val="24"/>
        </w:rPr>
        <w:t>2026年中秋节前，具体时间以采购方通知为准。</w:t>
      </w:r>
    </w:p>
    <w:p w14:paraId="1B8C5C98">
      <w:pPr>
        <w:numPr>
          <w:ilvl w:val="0"/>
          <w:numId w:val="10"/>
        </w:numPr>
        <w:spacing w:before="120" w:after="120" w:line="360" w:lineRule="auto"/>
        <w:ind w:firstLine="482" w:firstLineChars="200"/>
        <w:rPr>
          <w:rFonts w:hint="eastAsia" w:ascii="宋体" w:hAnsi="宋体" w:eastAsia="宋体" w:cs="宋体"/>
          <w:kern w:val="0"/>
          <w:sz w:val="24"/>
        </w:rPr>
      </w:pPr>
      <w:r>
        <w:rPr>
          <w:rFonts w:ascii="宋体" w:hAnsi="宋体" w:eastAsia="宋体" w:cs="Arial"/>
          <w:b/>
          <w:sz w:val="24"/>
        </w:rPr>
        <w:t>配送方式</w:t>
      </w:r>
      <w:r>
        <w:rPr>
          <w:rFonts w:ascii="宋体" w:hAnsi="宋体" w:eastAsia="宋体" w:cs="Arial"/>
          <w:sz w:val="24"/>
        </w:rPr>
        <w:t>：</w:t>
      </w:r>
    </w:p>
    <w:p w14:paraId="199032B7">
      <w:pPr>
        <w:pStyle w:val="12"/>
        <w:numPr>
          <w:ilvl w:val="0"/>
          <w:numId w:val="11"/>
        </w:numPr>
        <w:spacing w:before="120" w:after="120" w:line="360" w:lineRule="auto"/>
        <w:ind w:left="0" w:firstLine="567" w:firstLineChars="0"/>
        <w:rPr>
          <w:rFonts w:hint="eastAsia" w:ascii="宋体" w:hAnsi="宋体" w:eastAsia="宋体" w:cs="宋体"/>
          <w:kern w:val="0"/>
          <w:sz w:val="24"/>
        </w:rPr>
      </w:pPr>
      <w:r>
        <w:rPr>
          <w:rFonts w:hint="eastAsia" w:ascii="宋体" w:hAnsi="宋体" w:eastAsia="宋体" w:cs="Arial"/>
          <w:sz w:val="24"/>
        </w:rPr>
        <w:t>供应商应提供符合国家标准、行业标准并根据商品的规格要求按适合于长途海运和陆运及多次</w:t>
      </w:r>
      <w:r>
        <w:rPr>
          <w:rFonts w:hint="eastAsia" w:ascii="宋体" w:hAnsi="宋体" w:eastAsia="宋体" w:cs="宋体"/>
          <w:sz w:val="24"/>
        </w:rPr>
        <w:t>搬运的要求坚固包装和装运商品，如防潮、防锈、防尘、防碎、防震及防霉等，以确保商品安全完好地抵达指定交货地点。由于包装不当造成货物在运输过程中有任何损坏或丢失，均由供应商负责。</w:t>
      </w:r>
      <w:r>
        <w:rPr>
          <w:rFonts w:hint="eastAsia" w:ascii="宋体" w:hAnsi="宋体" w:eastAsia="宋体" w:cs="宋体"/>
          <w:kern w:val="0"/>
          <w:sz w:val="24"/>
        </w:rPr>
        <w:t>运输及保险费用由供应商承担。</w:t>
      </w:r>
    </w:p>
    <w:p w14:paraId="786FAE19">
      <w:pPr>
        <w:pStyle w:val="12"/>
        <w:numPr>
          <w:ilvl w:val="0"/>
          <w:numId w:val="11"/>
        </w:numPr>
        <w:spacing w:before="120" w:after="120" w:line="360" w:lineRule="auto"/>
        <w:ind w:left="0" w:firstLine="567" w:firstLineChars="0"/>
        <w:rPr>
          <w:rFonts w:hint="eastAsia" w:ascii="宋体" w:hAnsi="宋体" w:eastAsia="宋体" w:cs="宋体"/>
          <w:sz w:val="24"/>
        </w:rPr>
      </w:pPr>
      <w:r>
        <w:rPr>
          <w:rFonts w:hint="eastAsia" w:ascii="宋体" w:hAnsi="宋体" w:eastAsia="宋体" w:cs="宋体"/>
          <w:kern w:val="0"/>
          <w:sz w:val="24"/>
        </w:rPr>
        <w:t>在运输过程中及月饼交付采购方并经采购方验收合格前，毁损、灭失的风险由供应商承担。</w:t>
      </w:r>
    </w:p>
    <w:p w14:paraId="177497AC">
      <w:pPr>
        <w:pStyle w:val="12"/>
        <w:numPr>
          <w:ilvl w:val="0"/>
          <w:numId w:val="11"/>
        </w:numPr>
        <w:spacing w:before="120" w:after="120" w:line="360" w:lineRule="auto"/>
        <w:ind w:left="0" w:firstLine="567" w:firstLineChars="0"/>
        <w:rPr>
          <w:rFonts w:hint="eastAsia" w:ascii="宋体" w:hAnsi="宋体" w:eastAsia="宋体" w:cs="宋体"/>
          <w:kern w:val="0"/>
          <w:sz w:val="24"/>
        </w:rPr>
      </w:pPr>
      <w:r>
        <w:rPr>
          <w:rFonts w:ascii="宋体" w:hAnsi="宋体" w:eastAsia="宋体" w:cs="宋体"/>
          <w:kern w:val="0"/>
          <w:sz w:val="24"/>
        </w:rPr>
        <w:t>根据</w:t>
      </w:r>
      <w:r>
        <w:rPr>
          <w:rFonts w:hint="eastAsia" w:ascii="宋体" w:hAnsi="宋体" w:eastAsia="宋体" w:cs="宋体"/>
          <w:kern w:val="0"/>
          <w:sz w:val="24"/>
        </w:rPr>
        <w:t>商品的不同</w:t>
      </w:r>
      <w:r>
        <w:rPr>
          <w:rFonts w:ascii="宋体" w:hAnsi="宋体" w:eastAsia="宋体" w:cs="宋体"/>
          <w:kern w:val="0"/>
          <w:sz w:val="24"/>
        </w:rPr>
        <w:t>属性，</w:t>
      </w:r>
      <w:r>
        <w:rPr>
          <w:rFonts w:hint="eastAsia" w:ascii="宋体" w:hAnsi="宋体" w:eastAsia="宋体" w:cs="宋体"/>
          <w:kern w:val="0"/>
          <w:sz w:val="24"/>
        </w:rPr>
        <w:t>供应商</w:t>
      </w:r>
      <w:r>
        <w:rPr>
          <w:rFonts w:ascii="宋体" w:hAnsi="宋体" w:eastAsia="宋体" w:cs="宋体"/>
          <w:kern w:val="0"/>
          <w:sz w:val="24"/>
        </w:rPr>
        <w:t>应用不褪色的油漆以鲜明的中英文，在每件包装箱上印刷唛头、件号、毛净重、尺寸，并注明“小心轻放”“防潮向上”“保持干燥”</w:t>
      </w:r>
      <w:r>
        <w:rPr>
          <w:rFonts w:hint="eastAsia" w:ascii="宋体" w:hAnsi="宋体" w:eastAsia="宋体" w:cs="宋体"/>
          <w:kern w:val="0"/>
          <w:sz w:val="24"/>
        </w:rPr>
        <w:t>、内包装生产日期</w:t>
      </w:r>
      <w:r>
        <w:rPr>
          <w:rFonts w:ascii="宋体" w:hAnsi="宋体" w:eastAsia="宋体" w:cs="宋体"/>
          <w:kern w:val="0"/>
          <w:sz w:val="24"/>
        </w:rPr>
        <w:t>等字样，以及其他运输标志。</w:t>
      </w:r>
    </w:p>
    <w:p w14:paraId="6EEB50E9">
      <w:pPr>
        <w:numPr>
          <w:ilvl w:val="0"/>
          <w:numId w:val="10"/>
        </w:numPr>
        <w:spacing w:before="120" w:after="120" w:line="360" w:lineRule="auto"/>
        <w:ind w:firstLine="482" w:firstLineChars="200"/>
        <w:rPr>
          <w:rFonts w:hint="eastAsia" w:ascii="宋体" w:hAnsi="宋体" w:eastAsia="宋体"/>
          <w:sz w:val="24"/>
        </w:rPr>
      </w:pPr>
      <w:r>
        <w:rPr>
          <w:rFonts w:ascii="宋体" w:hAnsi="宋体" w:eastAsia="宋体" w:cs="Arial"/>
          <w:b/>
          <w:sz w:val="24"/>
        </w:rPr>
        <w:t>装卸服务</w:t>
      </w:r>
      <w:r>
        <w:rPr>
          <w:rFonts w:ascii="宋体" w:hAnsi="宋体" w:eastAsia="宋体" w:cs="Arial"/>
          <w:sz w:val="24"/>
        </w:rPr>
        <w:t>：供应商须将物资搬运至采购方指定食堂仓库/操作区域并摆放整齐，配合验收，不得要求采购方提供额外装卸服务。</w:t>
      </w:r>
    </w:p>
    <w:p w14:paraId="548BFA06">
      <w:pPr>
        <w:numPr>
          <w:ilvl w:val="0"/>
          <w:numId w:val="10"/>
        </w:numPr>
        <w:spacing w:before="120" w:after="120" w:line="360" w:lineRule="auto"/>
        <w:ind w:firstLine="482" w:firstLineChars="200"/>
        <w:rPr>
          <w:rFonts w:hint="eastAsia" w:ascii="宋体" w:hAnsi="宋体" w:eastAsia="宋体"/>
          <w:sz w:val="24"/>
        </w:rPr>
      </w:pPr>
      <w:r>
        <w:rPr>
          <w:rFonts w:ascii="宋体" w:hAnsi="宋体" w:eastAsia="宋体" w:cs="Arial"/>
          <w:b/>
          <w:sz w:val="24"/>
        </w:rPr>
        <w:t>配送频次</w:t>
      </w:r>
      <w:r>
        <w:rPr>
          <w:rFonts w:ascii="宋体" w:hAnsi="宋体" w:eastAsia="宋体" w:cs="Arial"/>
          <w:sz w:val="24"/>
        </w:rPr>
        <w:t>：按订单要求配送，采购方临时加急订单，供应商须优先安排。</w:t>
      </w:r>
    </w:p>
    <w:p w14:paraId="190389EE">
      <w:pPr>
        <w:pStyle w:val="12"/>
        <w:numPr>
          <w:ilvl w:val="0"/>
          <w:numId w:val="8"/>
        </w:numPr>
        <w:spacing w:before="320" w:after="120" w:line="360" w:lineRule="auto"/>
        <w:ind w:firstLine="57" w:firstLineChars="0"/>
        <w:outlineLvl w:val="1"/>
        <w:rPr>
          <w:rFonts w:hint="eastAsia" w:ascii="宋体" w:hAnsi="宋体" w:eastAsia="宋体" w:cs="Arial"/>
          <w:b/>
          <w:sz w:val="24"/>
        </w:rPr>
      </w:pPr>
      <w:bookmarkStart w:id="11" w:name="heading_17"/>
      <w:r>
        <w:rPr>
          <w:rFonts w:ascii="宋体" w:hAnsi="宋体" w:eastAsia="宋体" w:cs="Arial"/>
          <w:b/>
          <w:sz w:val="24"/>
        </w:rPr>
        <w:t>验收要求</w:t>
      </w:r>
      <w:bookmarkEnd w:id="11"/>
    </w:p>
    <w:p w14:paraId="147B4C12">
      <w:pPr>
        <w:pStyle w:val="12"/>
        <w:numPr>
          <w:ilvl w:val="0"/>
          <w:numId w:val="12"/>
        </w:numPr>
        <w:ind w:firstLineChars="0"/>
        <w:rPr>
          <w:rFonts w:hint="eastAsia" w:ascii="宋体" w:hAnsi="宋体" w:eastAsia="宋体"/>
          <w:sz w:val="24"/>
        </w:rPr>
      </w:pPr>
      <w:r>
        <w:rPr>
          <w:rFonts w:ascii="宋体" w:hAnsi="宋体" w:eastAsia="宋体"/>
          <w:sz w:val="24"/>
        </w:rPr>
        <w:t>送货前应提交近</w:t>
      </w:r>
      <w:r>
        <w:rPr>
          <w:rFonts w:hint="eastAsia" w:ascii="宋体" w:hAnsi="宋体" w:eastAsia="宋体"/>
          <w:sz w:val="24"/>
        </w:rPr>
        <w:t>1年</w:t>
      </w:r>
      <w:r>
        <w:rPr>
          <w:rFonts w:ascii="宋体" w:hAnsi="宋体" w:eastAsia="宋体"/>
          <w:sz w:val="24"/>
        </w:rPr>
        <w:t>内的第三方食品安全检测报告（检测项目符合标准要求），采购方对所供物资进行验收，供应商需配合采购方完成验收工作。</w:t>
      </w:r>
    </w:p>
    <w:p w14:paraId="37CF2975">
      <w:pPr>
        <w:numPr>
          <w:ilvl w:val="0"/>
          <w:numId w:val="12"/>
        </w:numPr>
        <w:spacing w:before="120" w:after="120" w:line="360" w:lineRule="auto"/>
        <w:ind w:firstLine="480" w:firstLineChars="200"/>
        <w:rPr>
          <w:rFonts w:hint="eastAsia" w:ascii="宋体" w:hAnsi="宋体" w:eastAsia="宋体"/>
          <w:sz w:val="24"/>
        </w:rPr>
      </w:pPr>
      <w:r>
        <w:rPr>
          <w:rFonts w:hint="eastAsia" w:ascii="宋体" w:hAnsi="宋体" w:eastAsia="宋体"/>
          <w:sz w:val="24"/>
        </w:rPr>
        <w:t>物资送达后，采购方每批次现场要收月饼品牌（如有）、名称、规格（型号）、数量、包装、质量、保质期、商品合格证、出厂报告</w:t>
      </w:r>
      <w:r>
        <w:rPr>
          <w:rFonts w:ascii="宋体" w:hAnsi="宋体" w:eastAsia="宋体" w:cs="Arial"/>
          <w:sz w:val="24"/>
        </w:rPr>
        <w:t>，核对样板与实际配送物资的一致性。</w:t>
      </w:r>
    </w:p>
    <w:p w14:paraId="4F4027CC">
      <w:pPr>
        <w:numPr>
          <w:ilvl w:val="0"/>
          <w:numId w:val="12"/>
        </w:numPr>
        <w:spacing w:before="120" w:after="120" w:line="360" w:lineRule="auto"/>
        <w:ind w:firstLine="480" w:firstLineChars="200"/>
        <w:rPr>
          <w:rFonts w:hint="eastAsia" w:ascii="宋体" w:hAnsi="宋体" w:eastAsia="宋体"/>
          <w:sz w:val="24"/>
        </w:rPr>
      </w:pPr>
      <w:r>
        <w:rPr>
          <w:rFonts w:hint="eastAsia" w:ascii="宋体" w:hAnsi="宋体" w:eastAsia="宋体"/>
          <w:sz w:val="24"/>
        </w:rPr>
        <w:t>采购方对月饼验收合格后，在送货单上签署确认。对月饼存在的隐蔽缺陷或在验收过程中不易发现的问题（如破损变质等），采购方在送货单上的签署确认，不被视为采购方对上述缺陷和问题的验收合格的确认。出现上述缺陷或问题，供应商仍应按采购方要求提供退换货服务。</w:t>
      </w:r>
    </w:p>
    <w:p w14:paraId="6B43ABED">
      <w:pPr>
        <w:pStyle w:val="12"/>
        <w:numPr>
          <w:ilvl w:val="0"/>
          <w:numId w:val="8"/>
        </w:numPr>
        <w:spacing w:before="320" w:after="120" w:line="360" w:lineRule="auto"/>
        <w:ind w:firstLine="57" w:firstLineChars="0"/>
        <w:outlineLvl w:val="1"/>
        <w:rPr>
          <w:rFonts w:hint="eastAsia" w:ascii="宋体" w:hAnsi="宋体" w:eastAsia="宋体" w:cs="Arial"/>
          <w:b/>
          <w:sz w:val="24"/>
        </w:rPr>
      </w:pPr>
      <w:bookmarkStart w:id="12" w:name="heading_18"/>
      <w:r>
        <w:rPr>
          <w:rFonts w:ascii="宋体" w:hAnsi="宋体" w:eastAsia="宋体" w:cs="Arial"/>
          <w:b/>
          <w:sz w:val="24"/>
        </w:rPr>
        <w:t>结算要求</w:t>
      </w:r>
      <w:bookmarkEnd w:id="12"/>
    </w:p>
    <w:p w14:paraId="1E2795BE">
      <w:pPr>
        <w:numPr>
          <w:ilvl w:val="0"/>
          <w:numId w:val="13"/>
        </w:numPr>
        <w:spacing w:before="120" w:after="120" w:line="360" w:lineRule="auto"/>
        <w:ind w:firstLine="482" w:firstLineChars="200"/>
        <w:rPr>
          <w:rFonts w:hint="eastAsia" w:ascii="宋体" w:hAnsi="宋体" w:eastAsia="宋体"/>
          <w:sz w:val="24"/>
        </w:rPr>
      </w:pPr>
      <w:r>
        <w:rPr>
          <w:rFonts w:ascii="宋体" w:hAnsi="宋体" w:eastAsia="宋体" w:cs="Arial"/>
          <w:b/>
          <w:sz w:val="24"/>
        </w:rPr>
        <w:t>结算周期</w:t>
      </w:r>
      <w:r>
        <w:rPr>
          <w:rFonts w:ascii="宋体" w:hAnsi="宋体" w:eastAsia="宋体" w:cs="Arial"/>
          <w:sz w:val="24"/>
        </w:rPr>
        <w:t>：</w:t>
      </w:r>
      <w:r>
        <w:rPr>
          <w:rFonts w:hint="eastAsia" w:ascii="宋体" w:hAnsi="宋体" w:eastAsia="宋体" w:cs="Arial"/>
          <w:sz w:val="24"/>
        </w:rPr>
        <w:t>采购方在订单全部到货后完成双方对账并收到合规发票30天内支付相应货款。</w:t>
      </w:r>
    </w:p>
    <w:p w14:paraId="6FA84A33">
      <w:pPr>
        <w:numPr>
          <w:ilvl w:val="0"/>
          <w:numId w:val="13"/>
        </w:numPr>
        <w:spacing w:before="120" w:after="120" w:line="360" w:lineRule="auto"/>
        <w:ind w:firstLine="482" w:firstLineChars="200"/>
        <w:rPr>
          <w:rFonts w:hint="eastAsia" w:ascii="宋体" w:hAnsi="宋体" w:eastAsia="宋体"/>
          <w:sz w:val="24"/>
        </w:rPr>
      </w:pPr>
      <w:r>
        <w:rPr>
          <w:rFonts w:ascii="宋体" w:hAnsi="宋体" w:eastAsia="宋体" w:cs="Arial"/>
          <w:b/>
          <w:sz w:val="24"/>
        </w:rPr>
        <w:t>结算依据</w:t>
      </w:r>
      <w:r>
        <w:rPr>
          <w:rFonts w:ascii="宋体" w:hAnsi="宋体" w:eastAsia="宋体" w:cs="Arial"/>
          <w:sz w:val="24"/>
        </w:rPr>
        <w:t>：以采购方签字的送货单、双方核对无误的对账单、合规增值税发票为依据，按</w:t>
      </w:r>
      <w:r>
        <w:rPr>
          <w:rFonts w:ascii="宋体" w:hAnsi="宋体" w:eastAsia="宋体" w:cs="Arial"/>
          <w:b/>
          <w:sz w:val="24"/>
        </w:rPr>
        <w:t>实际配送数量</w:t>
      </w:r>
      <w:r>
        <w:rPr>
          <w:rFonts w:hint="eastAsia" w:ascii="宋体" w:hAnsi="宋体" w:eastAsia="宋体" w:cs="Arial"/>
          <w:b/>
          <w:sz w:val="24"/>
        </w:rPr>
        <w:t>结合</w:t>
      </w:r>
      <w:r>
        <w:rPr>
          <w:rFonts w:ascii="宋体" w:hAnsi="宋体" w:eastAsia="宋体" w:cs="Arial"/>
          <w:b/>
          <w:sz w:val="24"/>
        </w:rPr>
        <w:t>合同约定</w:t>
      </w:r>
      <w:r>
        <w:rPr>
          <w:rFonts w:hint="eastAsia" w:ascii="宋体" w:hAnsi="宋体" w:eastAsia="宋体" w:cs="Arial"/>
          <w:b/>
          <w:sz w:val="24"/>
        </w:rPr>
        <w:t>单价</w:t>
      </w:r>
      <w:r>
        <w:rPr>
          <w:rFonts w:ascii="宋体" w:hAnsi="宋体" w:eastAsia="宋体" w:cs="Arial"/>
          <w:sz w:val="24"/>
        </w:rPr>
        <w:t>结算。</w:t>
      </w:r>
    </w:p>
    <w:p w14:paraId="26337EDD">
      <w:pPr>
        <w:numPr>
          <w:ilvl w:val="0"/>
          <w:numId w:val="13"/>
        </w:numPr>
        <w:spacing w:before="120" w:after="120" w:line="360" w:lineRule="auto"/>
        <w:ind w:firstLine="482" w:firstLineChars="200"/>
        <w:rPr>
          <w:rFonts w:hint="eastAsia" w:ascii="宋体" w:hAnsi="宋体" w:eastAsia="宋体"/>
          <w:sz w:val="24"/>
        </w:rPr>
      </w:pPr>
      <w:r>
        <w:rPr>
          <w:rFonts w:ascii="宋体" w:hAnsi="宋体" w:eastAsia="宋体" w:cs="Arial"/>
          <w:b/>
          <w:sz w:val="24"/>
        </w:rPr>
        <w:t>付款方式</w:t>
      </w:r>
      <w:r>
        <w:rPr>
          <w:rFonts w:ascii="宋体" w:hAnsi="宋体" w:eastAsia="宋体" w:cs="Arial"/>
          <w:sz w:val="24"/>
        </w:rPr>
        <w:t>：采购方通过银行转账支付至供应商指定账户；供应商账户变更须提前30日书面通知采购方</w:t>
      </w:r>
      <w:r>
        <w:rPr>
          <w:rFonts w:hint="eastAsia" w:ascii="宋体" w:hAnsi="宋体" w:eastAsia="宋体" w:cs="宋体"/>
          <w:kern w:val="0"/>
          <w:sz w:val="24"/>
        </w:rPr>
        <w:t>。</w:t>
      </w:r>
    </w:p>
    <w:p w14:paraId="2096B356">
      <w:pPr>
        <w:pStyle w:val="12"/>
        <w:numPr>
          <w:ilvl w:val="0"/>
          <w:numId w:val="8"/>
        </w:numPr>
        <w:spacing w:before="320" w:after="120" w:line="360" w:lineRule="auto"/>
        <w:ind w:firstLine="57" w:firstLineChars="0"/>
        <w:outlineLvl w:val="1"/>
        <w:rPr>
          <w:rFonts w:hint="eastAsia" w:ascii="宋体" w:hAnsi="宋体" w:eastAsia="宋体" w:cs="Arial"/>
          <w:b/>
          <w:sz w:val="24"/>
        </w:rPr>
      </w:pPr>
      <w:r>
        <w:rPr>
          <w:rFonts w:hint="eastAsia" w:ascii="宋体" w:hAnsi="宋体" w:eastAsia="宋体" w:cs="Arial"/>
          <w:b/>
          <w:sz w:val="24"/>
        </w:rPr>
        <w:t>履约保证金</w:t>
      </w:r>
    </w:p>
    <w:p w14:paraId="506AB5EB">
      <w:pPr>
        <w:spacing w:before="120" w:after="120" w:line="360" w:lineRule="auto"/>
        <w:ind w:firstLine="480" w:firstLineChars="200"/>
        <w:rPr>
          <w:rFonts w:hint="eastAsia" w:ascii="宋体" w:hAnsi="宋体" w:eastAsia="宋体" w:cs="Arial"/>
          <w:bCs/>
          <w:sz w:val="24"/>
        </w:rPr>
      </w:pPr>
      <w:r>
        <w:rPr>
          <w:rFonts w:hint="eastAsia" w:ascii="宋体" w:hAnsi="宋体" w:eastAsia="宋体" w:cs="Arial"/>
          <w:bCs/>
          <w:sz w:val="24"/>
        </w:rPr>
        <w:t>合同签订之日起 7 个工作日内，中选供应商须向采购方提交子包一</w:t>
      </w:r>
      <w:r>
        <w:rPr>
          <w:rFonts w:hint="eastAsia" w:ascii="宋体" w:hAnsi="宋体" w:eastAsia="宋体" w:cs="Arial"/>
          <w:b/>
          <w:sz w:val="24"/>
        </w:rPr>
        <w:t>30,000.00 元、子包二30,000元履约保证金</w:t>
      </w:r>
      <w:r>
        <w:rPr>
          <w:rFonts w:hint="eastAsia" w:ascii="宋体" w:hAnsi="宋体" w:eastAsia="宋体" w:cs="Arial"/>
          <w:bCs/>
          <w:sz w:val="24"/>
        </w:rPr>
        <w:t>。中大餐饮项目按要求提交，康乐园餐饮项目免于提交。具体要求如下：</w:t>
      </w:r>
    </w:p>
    <w:p w14:paraId="28D1E3BF">
      <w:pPr>
        <w:numPr>
          <w:ilvl w:val="0"/>
          <w:numId w:val="14"/>
        </w:numPr>
        <w:spacing w:before="120" w:after="120" w:line="360" w:lineRule="auto"/>
        <w:ind w:firstLine="480" w:firstLineChars="200"/>
        <w:rPr>
          <w:rFonts w:hint="eastAsia" w:ascii="宋体" w:hAnsi="宋体" w:eastAsia="宋体" w:cs="Arial"/>
          <w:bCs/>
          <w:sz w:val="24"/>
        </w:rPr>
      </w:pPr>
      <w:r>
        <w:rPr>
          <w:rFonts w:hint="eastAsia" w:ascii="宋体" w:hAnsi="宋体" w:eastAsia="宋体" w:cs="Arial"/>
          <w:bCs/>
          <w:sz w:val="24"/>
        </w:rPr>
        <w:t>履约保证金提交方式：转账；</w:t>
      </w:r>
    </w:p>
    <w:p w14:paraId="171AD508">
      <w:pPr>
        <w:numPr>
          <w:ilvl w:val="0"/>
          <w:numId w:val="14"/>
        </w:numPr>
        <w:spacing w:before="120" w:after="120" w:line="360" w:lineRule="auto"/>
        <w:ind w:firstLine="480" w:firstLineChars="200"/>
        <w:rPr>
          <w:rFonts w:hint="eastAsia" w:ascii="宋体" w:hAnsi="宋体" w:eastAsia="宋体" w:cs="Arial"/>
          <w:bCs/>
          <w:sz w:val="24"/>
        </w:rPr>
      </w:pPr>
      <w:r>
        <w:rPr>
          <w:rFonts w:hint="eastAsia" w:ascii="宋体" w:hAnsi="宋体" w:eastAsia="宋体" w:cs="Arial"/>
          <w:bCs/>
          <w:sz w:val="24"/>
        </w:rPr>
        <w:t>履约保证金退还说明：详见合同主要条款。</w:t>
      </w:r>
    </w:p>
    <w:p w14:paraId="7B6B41AF">
      <w:pPr>
        <w:spacing w:before="120" w:after="120" w:line="360" w:lineRule="auto"/>
        <w:ind w:firstLine="480" w:firstLineChars="200"/>
        <w:rPr>
          <w:rFonts w:hint="eastAsia" w:ascii="宋体" w:hAnsi="宋体" w:eastAsia="宋体"/>
          <w:sz w:val="24"/>
        </w:rPr>
      </w:pPr>
    </w:p>
    <w:p w14:paraId="5CC3D61A">
      <w:pPr>
        <w:widowControl/>
        <w:ind w:firstLine="480" w:firstLineChars="200"/>
        <w:rPr>
          <w:rFonts w:hint="eastAsia" w:ascii="宋体" w:hAnsi="宋体" w:eastAsia="宋体"/>
          <w:sz w:val="24"/>
        </w:rPr>
      </w:pPr>
      <w:bookmarkStart w:id="13" w:name="heading_19"/>
      <w:r>
        <w:rPr>
          <w:rFonts w:hint="eastAsia" w:ascii="宋体" w:hAnsi="宋体" w:eastAsia="宋体"/>
          <w:sz w:val="24"/>
        </w:rPr>
        <w:br w:type="page"/>
      </w:r>
    </w:p>
    <w:p w14:paraId="5FF98347">
      <w:pPr>
        <w:spacing w:before="380" w:after="140" w:line="360" w:lineRule="auto"/>
        <w:ind w:firstLine="482" w:firstLineChars="200"/>
        <w:jc w:val="center"/>
        <w:outlineLvl w:val="0"/>
        <w:rPr>
          <w:rFonts w:hint="eastAsia" w:ascii="宋体" w:hAnsi="宋体" w:eastAsia="宋体"/>
          <w:sz w:val="24"/>
        </w:rPr>
      </w:pPr>
      <w:r>
        <w:rPr>
          <w:rFonts w:ascii="宋体" w:hAnsi="宋体" w:eastAsia="宋体" w:cs="Arial"/>
          <w:b/>
          <w:sz w:val="24"/>
        </w:rPr>
        <w:t>第三部分 响应文件编制要求</w:t>
      </w:r>
      <w:bookmarkEnd w:id="13"/>
    </w:p>
    <w:p w14:paraId="022E20D9">
      <w:pPr>
        <w:spacing w:before="120" w:after="120" w:line="360" w:lineRule="auto"/>
        <w:ind w:firstLine="480" w:firstLineChars="200"/>
        <w:rPr>
          <w:rFonts w:hint="eastAsia" w:ascii="宋体" w:hAnsi="宋体" w:eastAsia="宋体"/>
          <w:sz w:val="24"/>
        </w:rPr>
      </w:pPr>
      <w:r>
        <w:rPr>
          <w:rFonts w:ascii="宋体" w:hAnsi="宋体" w:eastAsia="宋体" w:cs="Arial"/>
          <w:sz w:val="24"/>
        </w:rPr>
        <w:t>供应商须按本要求编制响应文件，内容完整、真实、有效，未按要求编制的视为无效响应。每个子包单独编制响应文件，文件封面须标注“子包X（XXX）-中大餐饮、康乐园餐饮2026年</w:t>
      </w:r>
      <w:r>
        <w:rPr>
          <w:rFonts w:hint="eastAsia" w:ascii="宋体" w:hAnsi="宋体" w:eastAsia="宋体" w:cs="Arial"/>
          <w:sz w:val="24"/>
        </w:rPr>
        <w:t>中秋月饼</w:t>
      </w:r>
      <w:r>
        <w:rPr>
          <w:rFonts w:ascii="宋体" w:hAnsi="宋体" w:eastAsia="宋体" w:cs="Arial"/>
          <w:sz w:val="24"/>
        </w:rPr>
        <w:t>采购项目响应文件”。</w:t>
      </w:r>
    </w:p>
    <w:p w14:paraId="3EAEE772">
      <w:pPr>
        <w:spacing w:before="120" w:after="120" w:line="360" w:lineRule="auto"/>
        <w:ind w:firstLine="480" w:firstLineChars="200"/>
        <w:rPr>
          <w:rFonts w:hint="eastAsia" w:ascii="宋体" w:hAnsi="宋体" w:eastAsia="宋体"/>
          <w:sz w:val="24"/>
        </w:rPr>
      </w:pPr>
      <w:r>
        <w:rPr>
          <w:rFonts w:ascii="宋体" w:hAnsi="宋体" w:eastAsia="宋体" w:cs="Arial"/>
          <w:sz w:val="24"/>
        </w:rPr>
        <w:t>响应文件包含</w:t>
      </w:r>
      <w:r>
        <w:rPr>
          <w:rFonts w:ascii="宋体" w:hAnsi="宋体" w:eastAsia="宋体" w:cs="Arial"/>
          <w:b/>
          <w:sz w:val="24"/>
        </w:rPr>
        <w:t>资质文件、商务技术文件、价格文件</w:t>
      </w:r>
      <w:r>
        <w:rPr>
          <w:rFonts w:ascii="宋体" w:hAnsi="宋体" w:eastAsia="宋体" w:cs="Arial"/>
          <w:sz w:val="24"/>
        </w:rPr>
        <w:t>三部分，均须加盖供应商公章，三部分内容不得交叉混放。</w:t>
      </w:r>
    </w:p>
    <w:p w14:paraId="56F1C640">
      <w:pPr>
        <w:pStyle w:val="12"/>
        <w:numPr>
          <w:ilvl w:val="0"/>
          <w:numId w:val="15"/>
        </w:numPr>
        <w:spacing w:before="320" w:after="120" w:line="360" w:lineRule="auto"/>
        <w:ind w:firstLine="57" w:firstLineChars="0"/>
        <w:outlineLvl w:val="1"/>
        <w:rPr>
          <w:rFonts w:hint="eastAsia" w:ascii="宋体" w:hAnsi="宋体" w:eastAsia="宋体" w:cs="Arial"/>
          <w:b/>
          <w:sz w:val="24"/>
        </w:rPr>
      </w:pPr>
      <w:bookmarkStart w:id="14" w:name="heading_20"/>
      <w:r>
        <w:rPr>
          <w:rFonts w:ascii="宋体" w:hAnsi="宋体" w:eastAsia="宋体" w:cs="Arial"/>
          <w:b/>
          <w:sz w:val="24"/>
        </w:rPr>
        <w:t>资质文件部分</w:t>
      </w:r>
      <w:bookmarkEnd w:id="14"/>
    </w:p>
    <w:p w14:paraId="144F5AD2">
      <w:pPr>
        <w:numPr>
          <w:ilvl w:val="0"/>
          <w:numId w:val="16"/>
        </w:numPr>
        <w:spacing w:before="120" w:after="120" w:line="360" w:lineRule="auto"/>
        <w:ind w:firstLine="480" w:firstLineChars="200"/>
        <w:rPr>
          <w:rFonts w:hint="eastAsia" w:ascii="宋体" w:hAnsi="宋体" w:eastAsia="宋体"/>
          <w:sz w:val="24"/>
        </w:rPr>
      </w:pPr>
      <w:r>
        <w:rPr>
          <w:rFonts w:ascii="宋体" w:hAnsi="宋体" w:eastAsia="宋体" w:cs="Arial"/>
          <w:sz w:val="24"/>
        </w:rPr>
        <w:t>响应文件清单及页码索引（单独列明）；</w:t>
      </w:r>
    </w:p>
    <w:p w14:paraId="435BEE66">
      <w:pPr>
        <w:numPr>
          <w:ilvl w:val="0"/>
          <w:numId w:val="16"/>
        </w:numPr>
        <w:spacing w:before="120" w:after="120" w:line="360" w:lineRule="auto"/>
        <w:ind w:firstLine="480" w:firstLineChars="200"/>
        <w:rPr>
          <w:rFonts w:hint="eastAsia" w:ascii="宋体" w:hAnsi="宋体" w:eastAsia="宋体"/>
          <w:sz w:val="24"/>
        </w:rPr>
      </w:pPr>
      <w:r>
        <w:rPr>
          <w:rFonts w:ascii="宋体" w:hAnsi="宋体" w:eastAsia="宋体" w:cs="Arial"/>
          <w:sz w:val="24"/>
        </w:rPr>
        <w:t>法定代表人身份证明及身份证复印件（附件1）；</w:t>
      </w:r>
    </w:p>
    <w:p w14:paraId="38D59D2A">
      <w:pPr>
        <w:numPr>
          <w:ilvl w:val="0"/>
          <w:numId w:val="16"/>
        </w:numPr>
        <w:spacing w:before="120" w:after="120" w:line="360" w:lineRule="auto"/>
        <w:ind w:firstLine="480" w:firstLineChars="200"/>
        <w:rPr>
          <w:rFonts w:hint="eastAsia" w:ascii="宋体" w:hAnsi="宋体" w:eastAsia="宋体"/>
          <w:sz w:val="24"/>
        </w:rPr>
      </w:pPr>
      <w:r>
        <w:rPr>
          <w:rFonts w:ascii="宋体" w:hAnsi="宋体" w:eastAsia="宋体" w:cs="Arial"/>
          <w:sz w:val="24"/>
        </w:rPr>
        <w:t>法定代表人授权委托书及受委托人身份证复印件（附件2，法人亲自参与无需提供）；</w:t>
      </w:r>
    </w:p>
    <w:p w14:paraId="75FB337D">
      <w:pPr>
        <w:numPr>
          <w:ilvl w:val="0"/>
          <w:numId w:val="16"/>
        </w:numPr>
        <w:spacing w:before="120" w:after="120" w:line="360" w:lineRule="auto"/>
        <w:ind w:firstLine="480" w:firstLineChars="200"/>
        <w:rPr>
          <w:rFonts w:hint="eastAsia" w:ascii="宋体" w:hAnsi="宋体" w:eastAsia="宋体"/>
          <w:sz w:val="24"/>
        </w:rPr>
      </w:pPr>
      <w:r>
        <w:rPr>
          <w:rFonts w:ascii="宋体" w:hAnsi="宋体" w:eastAsia="宋体" w:cs="Arial"/>
          <w:sz w:val="24"/>
        </w:rPr>
        <w:t>有效营业执照复印件；</w:t>
      </w:r>
    </w:p>
    <w:p w14:paraId="40F33D71">
      <w:pPr>
        <w:numPr>
          <w:ilvl w:val="0"/>
          <w:numId w:val="16"/>
        </w:numPr>
        <w:spacing w:before="120" w:after="120" w:line="360" w:lineRule="auto"/>
        <w:ind w:firstLine="480" w:firstLineChars="200"/>
        <w:rPr>
          <w:rFonts w:hint="eastAsia" w:ascii="宋体" w:hAnsi="宋体" w:eastAsia="宋体"/>
          <w:sz w:val="24"/>
        </w:rPr>
      </w:pPr>
      <w:r>
        <w:rPr>
          <w:rFonts w:ascii="宋体" w:hAnsi="宋体" w:eastAsia="宋体" w:cs="Arial"/>
          <w:sz w:val="24"/>
        </w:rPr>
        <w:t>食品经营许可证/食品生产许可证</w:t>
      </w:r>
      <w:r>
        <w:rPr>
          <w:rFonts w:hint="eastAsia" w:ascii="宋体" w:hAnsi="宋体" w:eastAsia="宋体" w:cs="Arial"/>
          <w:sz w:val="24"/>
        </w:rPr>
        <w:t>/仅销售预包装食品经营者备案信息采集表</w:t>
      </w:r>
      <w:r>
        <w:rPr>
          <w:rFonts w:ascii="宋体" w:hAnsi="宋体" w:eastAsia="宋体" w:cs="Arial"/>
          <w:sz w:val="24"/>
        </w:rPr>
        <w:t>复印件；</w:t>
      </w:r>
    </w:p>
    <w:p w14:paraId="4E88FBC8">
      <w:pPr>
        <w:numPr>
          <w:ilvl w:val="0"/>
          <w:numId w:val="16"/>
        </w:numPr>
        <w:spacing w:before="120" w:after="120" w:line="360" w:lineRule="auto"/>
        <w:ind w:firstLine="480" w:firstLineChars="200"/>
        <w:rPr>
          <w:rFonts w:hint="eastAsia" w:ascii="宋体" w:hAnsi="宋体" w:eastAsia="宋体"/>
          <w:sz w:val="24"/>
        </w:rPr>
      </w:pPr>
      <w:r>
        <w:rPr>
          <w:rFonts w:hint="eastAsia" w:ascii="宋体" w:hAnsi="宋体" w:eastAsia="宋体" w:cs="Arial"/>
          <w:sz w:val="24"/>
        </w:rPr>
        <w:t>非生产商须提供所投品牌产品生产厂商的营业执照、食品生产许可证和委托经销证明。</w:t>
      </w:r>
    </w:p>
    <w:p w14:paraId="782FF86D">
      <w:pPr>
        <w:numPr>
          <w:ilvl w:val="0"/>
          <w:numId w:val="16"/>
        </w:numPr>
        <w:spacing w:before="120" w:after="120" w:line="360" w:lineRule="auto"/>
        <w:ind w:firstLine="480" w:firstLineChars="200"/>
        <w:rPr>
          <w:rFonts w:hint="eastAsia" w:ascii="宋体" w:hAnsi="宋体" w:eastAsia="宋体"/>
          <w:sz w:val="24"/>
        </w:rPr>
      </w:pPr>
      <w:r>
        <w:rPr>
          <w:rFonts w:hint="eastAsia" w:ascii="宋体" w:hAnsi="宋体" w:eastAsia="宋体" w:cs="Arial"/>
          <w:sz w:val="24"/>
        </w:rPr>
        <w:t>未被列入“信用中国”网站（www.creditchina.gov.cn）失信被执行人、重大税收违法失信主体名单，未处于中国政府采购网（www.ccgp.gov.cn）政府采购严重违法失信行为信息记录禁止期内；分公司响应的同步核查总公司信用，总公司有不良记录视同供应商存在不良记录（以采购方响应截止日查询结果为准）。</w:t>
      </w:r>
    </w:p>
    <w:p w14:paraId="114FD942">
      <w:pPr>
        <w:pStyle w:val="12"/>
        <w:numPr>
          <w:ilvl w:val="0"/>
          <w:numId w:val="16"/>
        </w:numPr>
        <w:ind w:firstLineChars="0"/>
        <w:rPr>
          <w:rFonts w:hint="eastAsia" w:ascii="宋体" w:hAnsi="宋体" w:eastAsia="宋体"/>
          <w:sz w:val="24"/>
        </w:rPr>
      </w:pPr>
      <w:r>
        <w:rPr>
          <w:rFonts w:hint="eastAsia" w:ascii="宋体" w:hAnsi="宋体" w:eastAsia="宋体"/>
          <w:sz w:val="24"/>
        </w:rPr>
        <w:t>提供</w:t>
      </w:r>
      <w:r>
        <w:rPr>
          <w:rFonts w:ascii="宋体" w:hAnsi="宋体" w:eastAsia="宋体"/>
          <w:sz w:val="24"/>
        </w:rPr>
        <w:t>2023年1月1日至今</w:t>
      </w:r>
      <w:r>
        <w:rPr>
          <w:rFonts w:hint="eastAsia" w:ascii="宋体" w:hAnsi="宋体" w:eastAsia="宋体"/>
          <w:sz w:val="24"/>
        </w:rPr>
        <w:t>，</w:t>
      </w:r>
      <w:r>
        <w:rPr>
          <w:rFonts w:ascii="宋体" w:hAnsi="宋体" w:eastAsia="宋体"/>
          <w:sz w:val="24"/>
        </w:rPr>
        <w:t>未发生因食品安全事故或查实食品安全舆情事件受到政府食品安全监督部门通报或处罚的情况</w:t>
      </w:r>
      <w:r>
        <w:rPr>
          <w:rFonts w:hint="eastAsia" w:ascii="宋体" w:hAnsi="宋体" w:eastAsia="宋体" w:cs="Arial"/>
          <w:sz w:val="24"/>
        </w:rPr>
        <w:t>的承诺函（详见附件5）。</w:t>
      </w:r>
    </w:p>
    <w:p w14:paraId="635A6675">
      <w:pPr>
        <w:pStyle w:val="12"/>
        <w:numPr>
          <w:ilvl w:val="0"/>
          <w:numId w:val="15"/>
        </w:numPr>
        <w:spacing w:before="320" w:after="120" w:line="360" w:lineRule="auto"/>
        <w:ind w:firstLine="57" w:firstLineChars="0"/>
        <w:outlineLvl w:val="1"/>
        <w:rPr>
          <w:rFonts w:hint="eastAsia" w:ascii="宋体" w:hAnsi="宋体" w:eastAsia="宋体" w:cs="Arial"/>
          <w:b/>
          <w:sz w:val="24"/>
        </w:rPr>
      </w:pPr>
      <w:bookmarkStart w:id="15" w:name="heading_21"/>
      <w:r>
        <w:rPr>
          <w:rFonts w:ascii="宋体" w:hAnsi="宋体" w:eastAsia="宋体" w:cs="Arial"/>
          <w:b/>
          <w:sz w:val="24"/>
        </w:rPr>
        <w:t>商务技术文件部分</w:t>
      </w:r>
      <w:bookmarkEnd w:id="15"/>
    </w:p>
    <w:p w14:paraId="1E196FE5">
      <w:pPr>
        <w:numPr>
          <w:ilvl w:val="0"/>
          <w:numId w:val="17"/>
        </w:numPr>
        <w:spacing w:before="120" w:after="120" w:line="360" w:lineRule="auto"/>
        <w:ind w:firstLine="482" w:firstLineChars="200"/>
        <w:rPr>
          <w:rFonts w:hint="eastAsia" w:ascii="宋体" w:hAnsi="宋体" w:eastAsia="宋体"/>
          <w:sz w:val="24"/>
        </w:rPr>
      </w:pPr>
      <w:r>
        <w:rPr>
          <w:rFonts w:hint="eastAsia" w:ascii="宋体" w:hAnsi="宋体" w:eastAsia="宋体"/>
          <w:b/>
          <w:bCs/>
          <w:sz w:val="24"/>
        </w:rPr>
        <w:t>企业荣誉</w:t>
      </w:r>
      <w:r>
        <w:rPr>
          <w:rFonts w:hint="eastAsia" w:ascii="宋体" w:hAnsi="宋体" w:eastAsia="宋体"/>
          <w:sz w:val="24"/>
        </w:rPr>
        <w:t>：提供奖项主办部门颁发的申请人企业证明文件。</w:t>
      </w:r>
    </w:p>
    <w:p w14:paraId="6BD68209">
      <w:pPr>
        <w:pStyle w:val="12"/>
        <w:numPr>
          <w:ilvl w:val="0"/>
          <w:numId w:val="17"/>
        </w:numPr>
        <w:ind w:firstLineChars="0"/>
        <w:rPr>
          <w:rFonts w:hint="eastAsia" w:ascii="宋体" w:hAnsi="宋体" w:eastAsia="宋体"/>
          <w:sz w:val="24"/>
        </w:rPr>
      </w:pPr>
      <w:r>
        <w:rPr>
          <w:rFonts w:hint="eastAsia" w:ascii="宋体" w:hAnsi="宋体" w:eastAsia="宋体"/>
          <w:b/>
          <w:bCs/>
          <w:sz w:val="24"/>
        </w:rPr>
        <w:t>企业资质</w:t>
      </w:r>
      <w:r>
        <w:rPr>
          <w:rFonts w:ascii="宋体" w:hAnsi="宋体" w:eastAsia="宋体"/>
          <w:sz w:val="24"/>
        </w:rPr>
        <w:t>：提供对应体系认证证书或许可证复印件（加盖公章），证书在有效期内；</w:t>
      </w:r>
    </w:p>
    <w:p w14:paraId="50E6726A">
      <w:pPr>
        <w:numPr>
          <w:ilvl w:val="0"/>
          <w:numId w:val="17"/>
        </w:numPr>
        <w:spacing w:before="120" w:after="120" w:line="360" w:lineRule="auto"/>
        <w:ind w:firstLine="482" w:firstLineChars="200"/>
        <w:rPr>
          <w:rFonts w:hint="eastAsia" w:ascii="宋体" w:hAnsi="宋体" w:eastAsia="宋体"/>
          <w:sz w:val="24"/>
        </w:rPr>
      </w:pPr>
      <w:r>
        <w:rPr>
          <w:rFonts w:ascii="宋体" w:hAnsi="宋体" w:eastAsia="宋体" w:cs="Arial"/>
          <w:b/>
          <w:sz w:val="24"/>
        </w:rPr>
        <w:t>同类项目业绩经验</w:t>
      </w:r>
      <w:r>
        <w:rPr>
          <w:rFonts w:ascii="宋体" w:hAnsi="宋体" w:eastAsia="宋体" w:cs="Arial"/>
          <w:sz w:val="24"/>
        </w:rPr>
        <w:t>：202</w:t>
      </w:r>
      <w:r>
        <w:rPr>
          <w:rFonts w:hint="eastAsia" w:ascii="宋体" w:hAnsi="宋体" w:eastAsia="宋体" w:cs="Arial"/>
          <w:sz w:val="24"/>
        </w:rPr>
        <w:t>3</w:t>
      </w:r>
      <w:r>
        <w:rPr>
          <w:rFonts w:ascii="宋体" w:hAnsi="宋体" w:eastAsia="宋体" w:cs="Arial"/>
          <w:sz w:val="24"/>
        </w:rPr>
        <w:t>年1月1日至今食品类物资配送/销售业绩一览表（附件</w:t>
      </w:r>
      <w:r>
        <w:rPr>
          <w:rFonts w:hint="eastAsia" w:ascii="宋体" w:hAnsi="宋体" w:eastAsia="宋体" w:cs="Arial"/>
          <w:sz w:val="24"/>
        </w:rPr>
        <w:t>3</w:t>
      </w:r>
      <w:r>
        <w:rPr>
          <w:rFonts w:ascii="宋体" w:hAnsi="宋体" w:eastAsia="宋体" w:cs="Arial"/>
          <w:sz w:val="24"/>
        </w:rPr>
        <w:t>）+业绩合同关键页复印件（合同首页、服务内容、金额、盖章页）；</w:t>
      </w:r>
    </w:p>
    <w:p w14:paraId="712F4C1A">
      <w:pPr>
        <w:numPr>
          <w:ilvl w:val="0"/>
          <w:numId w:val="17"/>
        </w:numPr>
        <w:spacing w:before="120" w:after="120" w:line="360" w:lineRule="auto"/>
        <w:ind w:firstLine="482" w:firstLineChars="200"/>
        <w:rPr>
          <w:rFonts w:hint="eastAsia" w:ascii="宋体" w:hAnsi="宋体" w:eastAsia="宋体"/>
          <w:sz w:val="24"/>
        </w:rPr>
      </w:pPr>
      <w:r>
        <w:rPr>
          <w:rFonts w:ascii="宋体" w:hAnsi="宋体" w:eastAsia="宋体" w:cs="Arial"/>
          <w:b/>
          <w:sz w:val="24"/>
        </w:rPr>
        <w:t>配送服务方案</w:t>
      </w:r>
      <w:r>
        <w:rPr>
          <w:rFonts w:ascii="宋体" w:hAnsi="宋体" w:eastAsia="宋体" w:cs="Arial"/>
          <w:sz w:val="24"/>
        </w:rPr>
        <w:t>：配送制定的详细方案（含路线规划、车辆配置、人员安排、订单处理、温控保鲜、时效保障、加急订单处理</w:t>
      </w:r>
      <w:r>
        <w:rPr>
          <w:rFonts w:hint="eastAsia" w:ascii="宋体" w:hAnsi="宋体" w:eastAsia="宋体" w:cs="Arial"/>
          <w:sz w:val="24"/>
        </w:rPr>
        <w:t>、配送车辆每周清洁消毒记录</w:t>
      </w:r>
      <w:r>
        <w:rPr>
          <w:rFonts w:ascii="宋体" w:hAnsi="宋体" w:eastAsia="宋体" w:cs="Arial"/>
          <w:sz w:val="24"/>
        </w:rPr>
        <w:t>等）；</w:t>
      </w:r>
    </w:p>
    <w:p w14:paraId="3E876254">
      <w:pPr>
        <w:numPr>
          <w:ilvl w:val="0"/>
          <w:numId w:val="17"/>
        </w:numPr>
        <w:spacing w:before="120" w:after="120" w:line="360" w:lineRule="auto"/>
        <w:ind w:firstLine="482" w:firstLineChars="200"/>
        <w:rPr>
          <w:rFonts w:hint="eastAsia" w:ascii="宋体" w:hAnsi="宋体" w:eastAsia="宋体"/>
          <w:sz w:val="24"/>
        </w:rPr>
      </w:pPr>
      <w:r>
        <w:rPr>
          <w:rFonts w:ascii="宋体" w:hAnsi="宋体" w:eastAsia="宋体" w:cs="Arial"/>
          <w:b/>
          <w:sz w:val="24"/>
        </w:rPr>
        <w:t>售后服务及退换货方案</w:t>
      </w:r>
      <w:r>
        <w:rPr>
          <w:rFonts w:ascii="宋体" w:hAnsi="宋体" w:eastAsia="宋体" w:cs="Arial"/>
          <w:sz w:val="24"/>
        </w:rPr>
        <w:t>：含质量问题退换货流程、退换货时效、客户反馈机制、投诉处理、食品安全应急处理等；</w:t>
      </w:r>
      <w:r>
        <w:rPr>
          <w:rFonts w:hint="eastAsia" w:ascii="宋体" w:hAnsi="宋体" w:eastAsia="宋体"/>
          <w:sz w:val="24"/>
        </w:rPr>
        <w:t xml:space="preserve"> </w:t>
      </w:r>
    </w:p>
    <w:p w14:paraId="6AD4051B">
      <w:pPr>
        <w:numPr>
          <w:ilvl w:val="0"/>
          <w:numId w:val="17"/>
        </w:numPr>
        <w:spacing w:before="120" w:after="120" w:line="360" w:lineRule="auto"/>
        <w:ind w:firstLine="482" w:firstLineChars="200"/>
        <w:rPr>
          <w:rFonts w:hint="eastAsia" w:ascii="宋体" w:hAnsi="宋体" w:eastAsia="宋体"/>
          <w:sz w:val="24"/>
        </w:rPr>
      </w:pPr>
      <w:r>
        <w:rPr>
          <w:rFonts w:ascii="宋体" w:hAnsi="宋体" w:eastAsia="宋体" w:cs="Arial"/>
          <w:b/>
          <w:sz w:val="24"/>
        </w:rPr>
        <w:t>质量保障措施及安全控制方案</w:t>
      </w:r>
      <w:r>
        <w:rPr>
          <w:rFonts w:ascii="宋体" w:hAnsi="宋体" w:eastAsia="宋体" w:cs="Arial"/>
          <w:sz w:val="24"/>
        </w:rPr>
        <w:t>：全流程（采购-仓储-运输-配送）质量保障和安全控制方案（含溯源机制、入库检验、仓储管理、运输防护、人员健康管理等）；</w:t>
      </w:r>
      <w:r>
        <w:rPr>
          <w:rFonts w:hint="eastAsia" w:ascii="宋体" w:hAnsi="宋体" w:eastAsia="宋体" w:cs="Arial"/>
          <w:sz w:val="24"/>
        </w:rPr>
        <w:t>含3 年食品安全事故情况说明及承诺函；</w:t>
      </w:r>
    </w:p>
    <w:p w14:paraId="6541ECFE">
      <w:pPr>
        <w:numPr>
          <w:ilvl w:val="0"/>
          <w:numId w:val="17"/>
        </w:numPr>
        <w:spacing w:before="120" w:after="120" w:line="360" w:lineRule="auto"/>
        <w:ind w:firstLine="482" w:firstLineChars="200"/>
        <w:rPr>
          <w:rFonts w:hint="eastAsia" w:ascii="宋体" w:hAnsi="宋体" w:eastAsia="宋体"/>
          <w:sz w:val="24"/>
        </w:rPr>
      </w:pPr>
      <w:r>
        <w:rPr>
          <w:rFonts w:hint="eastAsia" w:ascii="宋体" w:hAnsi="宋体" w:eastAsia="宋体"/>
          <w:b/>
          <w:bCs/>
          <w:sz w:val="24"/>
        </w:rPr>
        <w:t>到货周期</w:t>
      </w:r>
      <w:r>
        <w:rPr>
          <w:rFonts w:hint="eastAsia" w:ascii="宋体" w:hAnsi="宋体" w:eastAsia="宋体"/>
          <w:sz w:val="24"/>
        </w:rPr>
        <w:t>：</w:t>
      </w:r>
      <w:r>
        <w:rPr>
          <w:rFonts w:ascii="宋体" w:hAnsi="宋体" w:eastAsia="宋体"/>
          <w:sz w:val="24"/>
        </w:rPr>
        <w:t>根据《附件</w:t>
      </w:r>
      <w:r>
        <w:rPr>
          <w:rFonts w:hint="eastAsia" w:ascii="宋体" w:hAnsi="宋体" w:eastAsia="宋体"/>
          <w:sz w:val="24"/>
        </w:rPr>
        <w:t>8</w:t>
      </w:r>
      <w:r>
        <w:rPr>
          <w:rFonts w:ascii="宋体" w:hAnsi="宋体" w:eastAsia="宋体"/>
          <w:sz w:val="24"/>
        </w:rPr>
        <w:t>报价清单》中填报到货周期</w:t>
      </w:r>
      <w:r>
        <w:rPr>
          <w:rFonts w:hint="eastAsia" w:ascii="宋体" w:hAnsi="宋体" w:eastAsia="宋体"/>
          <w:sz w:val="24"/>
        </w:rPr>
        <w:t>。</w:t>
      </w:r>
    </w:p>
    <w:p w14:paraId="6250C9E2">
      <w:pPr>
        <w:numPr>
          <w:ilvl w:val="0"/>
          <w:numId w:val="17"/>
        </w:numPr>
        <w:spacing w:before="120" w:after="120" w:line="360" w:lineRule="auto"/>
        <w:ind w:firstLine="482" w:firstLineChars="200"/>
        <w:rPr>
          <w:rFonts w:hint="eastAsia" w:ascii="宋体" w:hAnsi="宋体" w:eastAsia="宋体"/>
          <w:sz w:val="24"/>
        </w:rPr>
      </w:pPr>
      <w:r>
        <w:rPr>
          <w:rFonts w:hint="eastAsia" w:ascii="宋体" w:hAnsi="宋体" w:eastAsia="宋体"/>
          <w:b/>
          <w:bCs/>
          <w:sz w:val="24"/>
        </w:rPr>
        <w:t>增值服务</w:t>
      </w:r>
      <w:r>
        <w:rPr>
          <w:rFonts w:hint="eastAsia" w:ascii="宋体" w:hAnsi="宋体" w:eastAsia="宋体"/>
          <w:sz w:val="24"/>
        </w:rPr>
        <w:t>：承诺免费提供与月饼产品配套使用的月饼模具，须提供书面承诺函</w:t>
      </w:r>
      <w:r>
        <w:rPr>
          <w:rFonts w:ascii="宋体" w:hAnsi="宋体" w:eastAsia="宋体"/>
          <w:sz w:val="24"/>
        </w:rPr>
        <w:t>（详见附件6）</w:t>
      </w:r>
      <w:r>
        <w:rPr>
          <w:rFonts w:hint="eastAsia" w:ascii="宋体" w:hAnsi="宋体" w:eastAsia="宋体"/>
          <w:sz w:val="24"/>
        </w:rPr>
        <w:t>，并加盖供应商公章；</w:t>
      </w:r>
    </w:p>
    <w:p w14:paraId="35AC7FAE">
      <w:pPr>
        <w:numPr>
          <w:ilvl w:val="0"/>
          <w:numId w:val="17"/>
        </w:numPr>
        <w:spacing w:before="120" w:after="120" w:line="360" w:lineRule="auto"/>
        <w:ind w:firstLine="482" w:firstLineChars="200"/>
        <w:rPr>
          <w:rFonts w:hint="eastAsia" w:ascii="宋体" w:hAnsi="宋体" w:eastAsia="宋体"/>
          <w:sz w:val="24"/>
        </w:rPr>
      </w:pPr>
      <w:r>
        <w:rPr>
          <w:rFonts w:ascii="宋体" w:hAnsi="宋体" w:eastAsia="宋体" w:cs="Arial"/>
          <w:b/>
          <w:sz w:val="24"/>
        </w:rPr>
        <w:t>投标样板说明</w:t>
      </w:r>
      <w:r>
        <w:rPr>
          <w:rFonts w:ascii="宋体" w:hAnsi="宋体" w:eastAsia="宋体" w:cs="Arial"/>
          <w:sz w:val="24"/>
        </w:rPr>
        <w:t>：</w:t>
      </w:r>
      <w:r>
        <w:rPr>
          <w:rFonts w:hint="eastAsia" w:ascii="宋体" w:hAnsi="宋体" w:eastAsia="宋体" w:cs="Arial"/>
          <w:sz w:val="24"/>
        </w:rPr>
        <w:t>填写</w:t>
      </w:r>
      <w:r>
        <w:rPr>
          <w:rFonts w:ascii="宋体" w:hAnsi="宋体" w:eastAsia="宋体" w:cs="Arial"/>
          <w:sz w:val="24"/>
        </w:rPr>
        <w:t>投标样板明细表（附件</w:t>
      </w:r>
      <w:r>
        <w:rPr>
          <w:rFonts w:hint="eastAsia" w:ascii="宋体" w:hAnsi="宋体" w:eastAsia="宋体" w:cs="Arial"/>
          <w:sz w:val="24"/>
        </w:rPr>
        <w:t>4</w:t>
      </w:r>
      <w:r>
        <w:rPr>
          <w:rFonts w:ascii="宋体" w:hAnsi="宋体" w:eastAsia="宋体" w:cs="Arial"/>
          <w:sz w:val="24"/>
        </w:rPr>
        <w:t>），承诺样板与实际配送物资一致；</w:t>
      </w:r>
    </w:p>
    <w:p w14:paraId="58807C29">
      <w:pPr>
        <w:numPr>
          <w:ilvl w:val="0"/>
          <w:numId w:val="17"/>
        </w:numPr>
        <w:spacing w:before="120" w:after="120" w:line="360" w:lineRule="auto"/>
        <w:ind w:firstLine="480" w:firstLineChars="200"/>
        <w:rPr>
          <w:rFonts w:hint="eastAsia" w:ascii="宋体" w:hAnsi="宋体" w:eastAsia="宋体"/>
          <w:sz w:val="24"/>
        </w:rPr>
      </w:pPr>
      <w:r>
        <w:rPr>
          <w:rFonts w:hint="eastAsia" w:ascii="宋体" w:hAnsi="宋体" w:eastAsia="宋体"/>
          <w:sz w:val="24"/>
        </w:rPr>
        <w:t>供应商认为需要补充的其他商务技术资料。</w:t>
      </w:r>
    </w:p>
    <w:p w14:paraId="542813E0">
      <w:pPr>
        <w:pStyle w:val="12"/>
        <w:numPr>
          <w:ilvl w:val="0"/>
          <w:numId w:val="15"/>
        </w:numPr>
        <w:spacing w:before="320" w:after="120" w:line="360" w:lineRule="auto"/>
        <w:ind w:firstLine="57" w:firstLineChars="0"/>
        <w:outlineLvl w:val="1"/>
        <w:rPr>
          <w:rFonts w:hint="eastAsia" w:ascii="宋体" w:hAnsi="宋体" w:eastAsia="宋体" w:cs="Arial"/>
          <w:b/>
          <w:sz w:val="24"/>
        </w:rPr>
      </w:pPr>
      <w:bookmarkStart w:id="16" w:name="heading_22"/>
      <w:r>
        <w:rPr>
          <w:rFonts w:ascii="宋体" w:hAnsi="宋体" w:eastAsia="宋体" w:cs="Arial"/>
          <w:b/>
          <w:sz w:val="24"/>
        </w:rPr>
        <w:t>价格文件部分</w:t>
      </w:r>
      <w:bookmarkEnd w:id="16"/>
    </w:p>
    <w:p w14:paraId="208F5031">
      <w:pPr>
        <w:numPr>
          <w:ilvl w:val="0"/>
          <w:numId w:val="18"/>
        </w:numPr>
        <w:spacing w:before="120" w:after="120" w:line="360" w:lineRule="auto"/>
        <w:ind w:firstLine="480" w:firstLineChars="200"/>
        <w:rPr>
          <w:rFonts w:hint="eastAsia" w:ascii="宋体" w:hAnsi="宋体" w:eastAsia="宋体"/>
          <w:sz w:val="24"/>
        </w:rPr>
      </w:pPr>
      <w:r>
        <w:rPr>
          <w:rFonts w:ascii="宋体" w:hAnsi="宋体" w:eastAsia="宋体" w:cs="Arial"/>
          <w:sz w:val="24"/>
        </w:rPr>
        <w:t>报价函（附件</w:t>
      </w:r>
      <w:r>
        <w:rPr>
          <w:rFonts w:hint="eastAsia" w:ascii="宋体" w:hAnsi="宋体" w:eastAsia="宋体" w:cs="Arial"/>
          <w:sz w:val="24"/>
        </w:rPr>
        <w:t>7</w:t>
      </w:r>
      <w:r>
        <w:rPr>
          <w:rFonts w:ascii="宋体" w:hAnsi="宋体" w:eastAsia="宋体" w:cs="Arial"/>
          <w:sz w:val="24"/>
        </w:rPr>
        <w:t>）；</w:t>
      </w:r>
    </w:p>
    <w:p w14:paraId="35043D25">
      <w:pPr>
        <w:numPr>
          <w:ilvl w:val="0"/>
          <w:numId w:val="18"/>
        </w:numPr>
        <w:spacing w:before="120" w:after="120" w:line="360" w:lineRule="auto"/>
        <w:ind w:firstLine="480" w:firstLineChars="200"/>
        <w:rPr>
          <w:rFonts w:hint="eastAsia" w:ascii="宋体" w:hAnsi="宋体" w:eastAsia="宋体" w:cs="Arial"/>
          <w:sz w:val="24"/>
        </w:rPr>
      </w:pPr>
      <w:r>
        <w:rPr>
          <w:rFonts w:ascii="宋体" w:hAnsi="宋体" w:eastAsia="宋体" w:cs="Arial"/>
          <w:sz w:val="24"/>
        </w:rPr>
        <w:t>详细报价清单（附件</w:t>
      </w:r>
      <w:r>
        <w:rPr>
          <w:rFonts w:hint="eastAsia" w:ascii="宋体" w:hAnsi="宋体" w:eastAsia="宋体" w:cs="Arial"/>
          <w:sz w:val="24"/>
        </w:rPr>
        <w:t>8</w:t>
      </w:r>
      <w:r>
        <w:rPr>
          <w:rFonts w:ascii="宋体" w:hAnsi="宋体" w:eastAsia="宋体" w:cs="Arial"/>
          <w:sz w:val="24"/>
        </w:rPr>
        <w:t>）。</w:t>
      </w:r>
    </w:p>
    <w:p w14:paraId="7EAA8A02">
      <w:pPr>
        <w:widowControl/>
        <w:ind w:firstLine="480" w:firstLineChars="200"/>
        <w:rPr>
          <w:rFonts w:hint="eastAsia" w:ascii="宋体" w:hAnsi="宋体" w:eastAsia="宋体"/>
          <w:sz w:val="24"/>
        </w:rPr>
      </w:pPr>
      <w:bookmarkStart w:id="17" w:name="heading_23"/>
      <w:r>
        <w:rPr>
          <w:rFonts w:hint="eastAsia" w:ascii="宋体" w:hAnsi="宋体" w:eastAsia="宋体"/>
          <w:sz w:val="24"/>
        </w:rPr>
        <w:br w:type="page"/>
      </w:r>
    </w:p>
    <w:p w14:paraId="6F7D5932">
      <w:pPr>
        <w:spacing w:before="380" w:after="140" w:line="360" w:lineRule="auto"/>
        <w:ind w:firstLine="482" w:firstLineChars="200"/>
        <w:jc w:val="center"/>
        <w:outlineLvl w:val="0"/>
        <w:rPr>
          <w:rFonts w:hint="eastAsia" w:ascii="宋体" w:hAnsi="宋体" w:eastAsia="宋体"/>
          <w:sz w:val="24"/>
        </w:rPr>
      </w:pPr>
      <w:r>
        <w:rPr>
          <w:rFonts w:ascii="宋体" w:hAnsi="宋体" w:eastAsia="宋体" w:cs="Arial"/>
          <w:b/>
          <w:sz w:val="24"/>
        </w:rPr>
        <w:t>第四部分 评审办法</w:t>
      </w:r>
      <w:bookmarkEnd w:id="17"/>
    </w:p>
    <w:p w14:paraId="36D3D7B7">
      <w:pPr>
        <w:spacing w:before="120" w:after="120" w:line="360" w:lineRule="auto"/>
        <w:ind w:firstLine="480" w:firstLineChars="200"/>
        <w:rPr>
          <w:rFonts w:hint="eastAsia" w:ascii="宋体" w:hAnsi="宋体" w:eastAsia="宋体"/>
          <w:sz w:val="24"/>
        </w:rPr>
      </w:pPr>
      <w:r>
        <w:rPr>
          <w:rFonts w:ascii="宋体" w:hAnsi="宋体" w:eastAsia="宋体" w:cs="Arial"/>
          <w:sz w:val="24"/>
        </w:rPr>
        <w:t>本次评审采用</w:t>
      </w:r>
      <w:r>
        <w:rPr>
          <w:rFonts w:ascii="宋体" w:hAnsi="宋体" w:eastAsia="宋体" w:cs="Arial"/>
          <w:b/>
          <w:sz w:val="24"/>
        </w:rPr>
        <w:t>综合评分法</w:t>
      </w:r>
      <w:r>
        <w:rPr>
          <w:rFonts w:ascii="宋体" w:hAnsi="宋体" w:eastAsia="宋体" w:cs="Arial"/>
          <w:sz w:val="24"/>
        </w:rPr>
        <w:t>，每个子包单独评审，满分100分，其中</w:t>
      </w:r>
      <w:r>
        <w:rPr>
          <w:rFonts w:ascii="宋体" w:hAnsi="宋体" w:eastAsia="宋体" w:cs="Arial"/>
          <w:b/>
          <w:sz w:val="24"/>
        </w:rPr>
        <w:t>商务技术部分</w:t>
      </w:r>
      <w:r>
        <w:rPr>
          <w:rFonts w:hint="eastAsia" w:ascii="宋体" w:hAnsi="宋体" w:eastAsia="宋体" w:cs="Arial"/>
          <w:b/>
          <w:sz w:val="24"/>
        </w:rPr>
        <w:t>60</w:t>
      </w:r>
      <w:r>
        <w:rPr>
          <w:rFonts w:ascii="宋体" w:hAnsi="宋体" w:eastAsia="宋体" w:cs="Arial"/>
          <w:b/>
          <w:sz w:val="24"/>
        </w:rPr>
        <w:t>分</w:t>
      </w:r>
      <w:r>
        <w:rPr>
          <w:rFonts w:ascii="宋体" w:hAnsi="宋体" w:eastAsia="宋体" w:cs="Arial"/>
          <w:sz w:val="24"/>
        </w:rPr>
        <w:t>，</w:t>
      </w:r>
      <w:r>
        <w:rPr>
          <w:rFonts w:ascii="宋体" w:hAnsi="宋体" w:eastAsia="宋体" w:cs="Arial"/>
          <w:b/>
          <w:sz w:val="24"/>
        </w:rPr>
        <w:t>价格部分</w:t>
      </w:r>
      <w:r>
        <w:rPr>
          <w:rFonts w:hint="eastAsia" w:ascii="宋体" w:hAnsi="宋体" w:eastAsia="宋体" w:cs="Arial"/>
          <w:b/>
          <w:sz w:val="24"/>
        </w:rPr>
        <w:t>40</w:t>
      </w:r>
      <w:r>
        <w:rPr>
          <w:rFonts w:ascii="宋体" w:hAnsi="宋体" w:eastAsia="宋体" w:cs="Arial"/>
          <w:b/>
          <w:sz w:val="24"/>
        </w:rPr>
        <w:t>分</w:t>
      </w:r>
      <w:r>
        <w:rPr>
          <w:rFonts w:ascii="宋体" w:hAnsi="宋体" w:eastAsia="宋体" w:cs="Arial"/>
          <w:sz w:val="24"/>
        </w:rPr>
        <w:t>。</w:t>
      </w:r>
    </w:p>
    <w:p w14:paraId="78074764">
      <w:pPr>
        <w:spacing w:before="120" w:after="120" w:line="360" w:lineRule="auto"/>
        <w:ind w:firstLine="480" w:firstLineChars="200"/>
        <w:rPr>
          <w:rFonts w:hint="eastAsia" w:ascii="宋体" w:hAnsi="宋体" w:eastAsia="宋体"/>
          <w:sz w:val="24"/>
        </w:rPr>
      </w:pPr>
      <w:r>
        <w:rPr>
          <w:rFonts w:ascii="宋体" w:hAnsi="宋体" w:eastAsia="宋体" w:cs="Arial"/>
          <w:sz w:val="24"/>
        </w:rPr>
        <w:t>评审小组由采购方组建，按公平、公正、择优原则独立评分；</w:t>
      </w:r>
      <w:r>
        <w:rPr>
          <w:rFonts w:ascii="宋体" w:hAnsi="宋体" w:eastAsia="宋体" w:cs="Arial"/>
          <w:b/>
          <w:sz w:val="24"/>
        </w:rPr>
        <w:t>综合得分最高者为中选单位，次高者为备选单位</w:t>
      </w:r>
      <w:r>
        <w:rPr>
          <w:rFonts w:ascii="宋体" w:hAnsi="宋体" w:eastAsia="宋体" w:cs="Arial"/>
          <w:sz w:val="24"/>
        </w:rPr>
        <w:t>；得分相同的，价格部分得分高者优先；价格得分也相同的，同类项目业绩经验得分高者优先。</w:t>
      </w:r>
    </w:p>
    <w:p w14:paraId="4A4AC535">
      <w:pPr>
        <w:pStyle w:val="12"/>
        <w:numPr>
          <w:ilvl w:val="0"/>
          <w:numId w:val="19"/>
        </w:numPr>
        <w:spacing w:before="320" w:after="120" w:line="360" w:lineRule="auto"/>
        <w:ind w:firstLine="57" w:firstLineChars="0"/>
        <w:outlineLvl w:val="1"/>
        <w:rPr>
          <w:rFonts w:hint="eastAsia" w:ascii="宋体" w:hAnsi="宋体" w:eastAsia="宋体" w:cs="Arial"/>
          <w:b/>
          <w:sz w:val="24"/>
        </w:rPr>
      </w:pPr>
      <w:bookmarkStart w:id="18" w:name="heading_24"/>
      <w:r>
        <w:rPr>
          <w:rFonts w:ascii="宋体" w:hAnsi="宋体" w:eastAsia="宋体" w:cs="Arial"/>
          <w:b/>
          <w:sz w:val="24"/>
        </w:rPr>
        <w:t>商务技术部分（</w:t>
      </w:r>
      <w:r>
        <w:rPr>
          <w:rFonts w:hint="eastAsia" w:ascii="宋体" w:hAnsi="宋体" w:eastAsia="宋体" w:cs="Arial"/>
          <w:b/>
          <w:sz w:val="24"/>
        </w:rPr>
        <w:t>60</w:t>
      </w:r>
      <w:r>
        <w:rPr>
          <w:rFonts w:ascii="宋体" w:hAnsi="宋体" w:eastAsia="宋体" w:cs="Arial"/>
          <w:b/>
          <w:sz w:val="24"/>
        </w:rPr>
        <w:t>分）</w:t>
      </w:r>
      <w:bookmarkEnd w:id="18"/>
    </w:p>
    <w:p w14:paraId="317C6217">
      <w:pPr>
        <w:spacing w:before="120" w:after="120" w:line="360" w:lineRule="auto"/>
        <w:ind w:firstLine="480" w:firstLineChars="200"/>
        <w:rPr>
          <w:rFonts w:hint="eastAsia" w:ascii="宋体" w:hAnsi="宋体" w:eastAsia="宋体" w:cs="Arial"/>
          <w:sz w:val="24"/>
        </w:rPr>
      </w:pPr>
      <w:r>
        <w:rPr>
          <w:rFonts w:ascii="宋体" w:hAnsi="宋体" w:eastAsia="宋体" w:cs="Arial"/>
          <w:sz w:val="24"/>
        </w:rPr>
        <w:t>本部分评审指标适用于所有子包，无有效证明材料/未提供方案的不得分。</w:t>
      </w:r>
    </w:p>
    <w:tbl>
      <w:tblPr>
        <w:tblStyle w:val="8"/>
        <w:tblW w:w="9353" w:type="dxa"/>
        <w:tblInd w:w="0" w:type="dxa"/>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Layout w:type="fixed"/>
        <w:tblCellMar>
          <w:top w:w="0" w:type="dxa"/>
          <w:left w:w="10" w:type="dxa"/>
          <w:bottom w:w="0" w:type="dxa"/>
          <w:right w:w="10" w:type="dxa"/>
        </w:tblCellMar>
      </w:tblPr>
      <w:tblGrid>
        <w:gridCol w:w="851"/>
        <w:gridCol w:w="1417"/>
        <w:gridCol w:w="993"/>
        <w:gridCol w:w="6092"/>
      </w:tblGrid>
      <w:tr w14:paraId="5163BFBD">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851"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op w:w="60" w:type="dxa"/>
              <w:left w:w="120" w:type="dxa"/>
              <w:bottom w:w="30" w:type="dxa"/>
              <w:right w:w="120" w:type="dxa"/>
            </w:tcMar>
          </w:tcPr>
          <w:p w14:paraId="0BCBCC0C">
            <w:pPr>
              <w:spacing w:before="120" w:after="120" w:line="360" w:lineRule="auto"/>
              <w:jc w:val="center"/>
              <w:rPr>
                <w:rFonts w:hint="eastAsia" w:ascii="宋体" w:hAnsi="宋体" w:eastAsia="宋体"/>
                <w:sz w:val="24"/>
              </w:rPr>
            </w:pPr>
            <w:r>
              <w:rPr>
                <w:rFonts w:ascii="宋体" w:hAnsi="宋体" w:eastAsia="宋体" w:cs="Arial"/>
                <w:sz w:val="24"/>
              </w:rPr>
              <w:t>序号</w:t>
            </w:r>
          </w:p>
        </w:tc>
        <w:tc>
          <w:tcPr>
            <w:tcW w:w="1417"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op w:w="60" w:type="dxa"/>
              <w:left w:w="120" w:type="dxa"/>
              <w:bottom w:w="30" w:type="dxa"/>
              <w:right w:w="120" w:type="dxa"/>
            </w:tcMar>
          </w:tcPr>
          <w:p w14:paraId="245FAAF9">
            <w:pPr>
              <w:spacing w:before="120" w:after="120" w:line="360" w:lineRule="auto"/>
              <w:jc w:val="center"/>
              <w:rPr>
                <w:rFonts w:hint="eastAsia" w:ascii="宋体" w:hAnsi="宋体" w:eastAsia="宋体"/>
                <w:sz w:val="24"/>
              </w:rPr>
            </w:pPr>
            <w:r>
              <w:rPr>
                <w:rFonts w:ascii="宋体" w:hAnsi="宋体" w:eastAsia="宋体" w:cs="Arial"/>
                <w:sz w:val="24"/>
              </w:rPr>
              <w:t>评审指标</w:t>
            </w:r>
          </w:p>
        </w:tc>
        <w:tc>
          <w:tcPr>
            <w:tcW w:w="993"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op w:w="60" w:type="dxa"/>
              <w:left w:w="120" w:type="dxa"/>
              <w:bottom w:w="30" w:type="dxa"/>
              <w:right w:w="120" w:type="dxa"/>
            </w:tcMar>
          </w:tcPr>
          <w:p w14:paraId="052ED84B">
            <w:pPr>
              <w:spacing w:before="120" w:after="120" w:line="360" w:lineRule="auto"/>
              <w:jc w:val="center"/>
              <w:rPr>
                <w:rFonts w:hint="eastAsia" w:ascii="宋体" w:hAnsi="宋体" w:eastAsia="宋体"/>
                <w:sz w:val="24"/>
              </w:rPr>
            </w:pPr>
            <w:r>
              <w:rPr>
                <w:rFonts w:ascii="宋体" w:hAnsi="宋体" w:eastAsia="宋体" w:cs="Arial"/>
                <w:sz w:val="24"/>
              </w:rPr>
              <w:t>分值</w:t>
            </w:r>
          </w:p>
        </w:tc>
        <w:tc>
          <w:tcPr>
            <w:tcW w:w="6092"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op w:w="60" w:type="dxa"/>
              <w:left w:w="120" w:type="dxa"/>
              <w:bottom w:w="30" w:type="dxa"/>
              <w:right w:w="120" w:type="dxa"/>
            </w:tcMar>
          </w:tcPr>
          <w:p w14:paraId="712C73CF">
            <w:pPr>
              <w:spacing w:before="120" w:after="120" w:line="360" w:lineRule="auto"/>
              <w:jc w:val="center"/>
              <w:rPr>
                <w:rFonts w:hint="eastAsia" w:ascii="宋体" w:hAnsi="宋体" w:eastAsia="宋体"/>
                <w:sz w:val="24"/>
              </w:rPr>
            </w:pPr>
            <w:r>
              <w:rPr>
                <w:rFonts w:ascii="宋体" w:hAnsi="宋体" w:eastAsia="宋体" w:cs="Arial"/>
                <w:sz w:val="24"/>
              </w:rPr>
              <w:t>评分标准</w:t>
            </w:r>
          </w:p>
        </w:tc>
      </w:tr>
      <w:tr w14:paraId="7E5B67E2">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851"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op w:w="60" w:type="dxa"/>
              <w:left w:w="120" w:type="dxa"/>
              <w:bottom w:w="30" w:type="dxa"/>
              <w:right w:w="120" w:type="dxa"/>
            </w:tcMar>
          </w:tcPr>
          <w:p w14:paraId="7ABF9318">
            <w:pPr>
              <w:spacing w:before="120" w:after="120" w:line="360" w:lineRule="auto"/>
              <w:jc w:val="center"/>
              <w:rPr>
                <w:rFonts w:hint="eastAsia" w:ascii="宋体" w:hAnsi="宋体" w:eastAsia="宋体" w:cs="Arial"/>
                <w:sz w:val="24"/>
              </w:rPr>
            </w:pPr>
            <w:r>
              <w:rPr>
                <w:rFonts w:hint="eastAsia" w:ascii="宋体" w:hAnsi="宋体" w:eastAsia="宋体" w:cs="Arial"/>
                <w:sz w:val="24"/>
              </w:rPr>
              <w:t>1</w:t>
            </w:r>
          </w:p>
        </w:tc>
        <w:tc>
          <w:tcPr>
            <w:tcW w:w="1417"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op w:w="60" w:type="dxa"/>
              <w:left w:w="120" w:type="dxa"/>
              <w:bottom w:w="30" w:type="dxa"/>
              <w:right w:w="120" w:type="dxa"/>
            </w:tcMar>
          </w:tcPr>
          <w:p w14:paraId="227AECF7">
            <w:pPr>
              <w:spacing w:before="120" w:after="120" w:line="360" w:lineRule="auto"/>
              <w:jc w:val="center"/>
              <w:rPr>
                <w:rFonts w:hint="eastAsia" w:ascii="宋体" w:hAnsi="宋体" w:eastAsia="宋体" w:cs="Arial"/>
                <w:sz w:val="24"/>
              </w:rPr>
            </w:pPr>
            <w:r>
              <w:rPr>
                <w:rFonts w:hint="eastAsia" w:ascii="宋体" w:hAnsi="宋体" w:eastAsia="宋体" w:cs="Arial"/>
                <w:sz w:val="24"/>
              </w:rPr>
              <w:t>企业荣誉</w:t>
            </w:r>
          </w:p>
        </w:tc>
        <w:tc>
          <w:tcPr>
            <w:tcW w:w="993"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op w:w="60" w:type="dxa"/>
              <w:left w:w="120" w:type="dxa"/>
              <w:bottom w:w="30" w:type="dxa"/>
              <w:right w:w="120" w:type="dxa"/>
            </w:tcMar>
          </w:tcPr>
          <w:p w14:paraId="60E19346">
            <w:pPr>
              <w:spacing w:before="120" w:after="120" w:line="360" w:lineRule="auto"/>
              <w:jc w:val="center"/>
              <w:rPr>
                <w:rFonts w:hint="eastAsia" w:ascii="宋体" w:hAnsi="宋体" w:eastAsia="宋体" w:cs="Arial"/>
                <w:sz w:val="24"/>
              </w:rPr>
            </w:pPr>
            <w:r>
              <w:rPr>
                <w:rFonts w:hint="eastAsia" w:ascii="宋体" w:hAnsi="宋体" w:eastAsia="宋体" w:cs="Arial"/>
                <w:sz w:val="24"/>
              </w:rPr>
              <w:t>2</w:t>
            </w:r>
          </w:p>
        </w:tc>
        <w:tc>
          <w:tcPr>
            <w:tcW w:w="6092"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op w:w="60" w:type="dxa"/>
              <w:left w:w="120" w:type="dxa"/>
              <w:bottom w:w="30" w:type="dxa"/>
              <w:right w:w="120" w:type="dxa"/>
            </w:tcMar>
          </w:tcPr>
          <w:p w14:paraId="48DBD293">
            <w:pPr>
              <w:widowControl/>
              <w:rPr>
                <w:rFonts w:hint="eastAsia" w:ascii="宋体" w:hAnsi="宋体" w:eastAsia="宋体" w:cs="宋体"/>
                <w:color w:val="000000"/>
                <w:kern w:val="0"/>
                <w:sz w:val="24"/>
              </w:rPr>
            </w:pPr>
            <w:r>
              <w:rPr>
                <w:rFonts w:hint="eastAsia" w:ascii="宋体" w:hAnsi="宋体" w:eastAsia="宋体" w:cs="宋体"/>
                <w:color w:val="000000"/>
                <w:kern w:val="0"/>
                <w:sz w:val="24"/>
              </w:rPr>
              <w:t>过去三年（2023年至今）企业获得的月饼项目荣誉奖项按以下规则计分：每个奖项得0.5分，最高得2分</w:t>
            </w:r>
          </w:p>
          <w:p w14:paraId="342A2BB1">
            <w:pPr>
              <w:widowControl/>
              <w:numPr>
                <w:ilvl w:val="0"/>
                <w:numId w:val="20"/>
              </w:numPr>
              <w:rPr>
                <w:rFonts w:hint="eastAsia" w:ascii="宋体" w:hAnsi="宋体" w:eastAsia="宋体" w:cs="宋体"/>
                <w:color w:val="000000"/>
                <w:kern w:val="0"/>
                <w:sz w:val="24"/>
              </w:rPr>
            </w:pPr>
            <w:r>
              <w:rPr>
                <w:rFonts w:hint="eastAsia" w:ascii="宋体" w:hAnsi="宋体" w:eastAsia="宋体" w:cs="宋体"/>
                <w:color w:val="000000"/>
                <w:kern w:val="0"/>
                <w:sz w:val="24"/>
              </w:rPr>
              <w:t>市级或以上政府部门颁发的奖项；</w:t>
            </w:r>
          </w:p>
          <w:p w14:paraId="50DAFA6B">
            <w:pPr>
              <w:widowControl/>
              <w:numPr>
                <w:ilvl w:val="0"/>
                <w:numId w:val="20"/>
              </w:numPr>
              <w:rPr>
                <w:rFonts w:hint="eastAsia" w:ascii="宋体" w:hAnsi="宋体" w:eastAsia="宋体" w:cs="宋体"/>
                <w:color w:val="000000"/>
                <w:kern w:val="0"/>
                <w:sz w:val="24"/>
              </w:rPr>
            </w:pPr>
            <w:r>
              <w:rPr>
                <w:rFonts w:hint="eastAsia" w:ascii="宋体" w:hAnsi="宋体" w:eastAsia="宋体" w:cs="宋体"/>
                <w:color w:val="000000"/>
                <w:kern w:val="0"/>
                <w:sz w:val="24"/>
              </w:rPr>
              <w:t>企业或产品获得的月饼行业、烘焙行业荣誉；</w:t>
            </w:r>
          </w:p>
          <w:p w14:paraId="7BC5C1E5">
            <w:pPr>
              <w:widowControl/>
              <w:rPr>
                <w:rFonts w:hint="eastAsia" w:ascii="宋体" w:hAnsi="宋体" w:eastAsia="宋体" w:cs="宋体"/>
                <w:color w:val="000000"/>
                <w:kern w:val="0"/>
                <w:sz w:val="24"/>
              </w:rPr>
            </w:pPr>
            <w:r>
              <w:rPr>
                <w:rFonts w:hint="eastAsia" w:ascii="宋体" w:hAnsi="宋体" w:eastAsia="宋体" w:cs="宋体"/>
                <w:color w:val="000000"/>
                <w:kern w:val="0"/>
                <w:sz w:val="24"/>
              </w:rPr>
              <w:t>3.名牌认证、中华老字号、绿色月饼称号等的证明材料等。</w:t>
            </w:r>
          </w:p>
          <w:p w14:paraId="68FAF379">
            <w:pPr>
              <w:spacing w:before="120" w:after="120" w:line="360" w:lineRule="auto"/>
              <w:rPr>
                <w:rFonts w:hint="eastAsia" w:ascii="宋体" w:hAnsi="宋体" w:eastAsia="宋体" w:cs="Arial"/>
                <w:sz w:val="24"/>
              </w:rPr>
            </w:pPr>
            <w:r>
              <w:rPr>
                <w:rFonts w:hint="eastAsia" w:ascii="宋体" w:hAnsi="宋体" w:eastAsia="宋体" w:cs="宋体"/>
                <w:color w:val="000000"/>
                <w:kern w:val="0"/>
                <w:sz w:val="24"/>
              </w:rPr>
              <w:t>注：提供奖项主办部门颁发的申请人企业证明文件复印件，未提供不得分。</w:t>
            </w:r>
          </w:p>
        </w:tc>
      </w:tr>
      <w:tr w14:paraId="78CD16E9">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851"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op w:w="60" w:type="dxa"/>
              <w:left w:w="120" w:type="dxa"/>
              <w:bottom w:w="30" w:type="dxa"/>
              <w:right w:w="120" w:type="dxa"/>
            </w:tcMar>
          </w:tcPr>
          <w:p w14:paraId="4991CE51">
            <w:pPr>
              <w:spacing w:before="120" w:after="120" w:line="360" w:lineRule="auto"/>
              <w:jc w:val="center"/>
              <w:rPr>
                <w:rFonts w:hint="eastAsia" w:ascii="宋体" w:hAnsi="宋体" w:eastAsia="宋体" w:cs="Arial"/>
                <w:sz w:val="24"/>
              </w:rPr>
            </w:pPr>
            <w:r>
              <w:rPr>
                <w:rFonts w:hint="eastAsia" w:ascii="宋体" w:hAnsi="宋体" w:eastAsia="宋体" w:cs="Arial"/>
                <w:sz w:val="24"/>
              </w:rPr>
              <w:t>2</w:t>
            </w:r>
          </w:p>
        </w:tc>
        <w:tc>
          <w:tcPr>
            <w:tcW w:w="1417"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op w:w="60" w:type="dxa"/>
              <w:left w:w="120" w:type="dxa"/>
              <w:bottom w:w="30" w:type="dxa"/>
              <w:right w:w="120" w:type="dxa"/>
            </w:tcMar>
          </w:tcPr>
          <w:p w14:paraId="79A4CB8B">
            <w:pPr>
              <w:spacing w:before="120" w:after="120" w:line="360" w:lineRule="auto"/>
              <w:jc w:val="center"/>
              <w:rPr>
                <w:rFonts w:hint="eastAsia" w:ascii="宋体" w:hAnsi="宋体" w:eastAsia="宋体" w:cs="Arial"/>
                <w:sz w:val="24"/>
              </w:rPr>
            </w:pPr>
            <w:r>
              <w:rPr>
                <w:rFonts w:hint="eastAsia" w:ascii="宋体" w:hAnsi="宋体" w:eastAsia="宋体" w:cs="Arial"/>
                <w:sz w:val="24"/>
              </w:rPr>
              <w:t>资质</w:t>
            </w:r>
          </w:p>
        </w:tc>
        <w:tc>
          <w:tcPr>
            <w:tcW w:w="993"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op w:w="60" w:type="dxa"/>
              <w:left w:w="120" w:type="dxa"/>
              <w:bottom w:w="30" w:type="dxa"/>
              <w:right w:w="120" w:type="dxa"/>
            </w:tcMar>
          </w:tcPr>
          <w:p w14:paraId="422196B2">
            <w:pPr>
              <w:spacing w:before="120" w:after="120" w:line="360" w:lineRule="auto"/>
              <w:jc w:val="center"/>
              <w:rPr>
                <w:rFonts w:hint="eastAsia" w:ascii="宋体" w:hAnsi="宋体" w:eastAsia="宋体" w:cs="Arial"/>
                <w:sz w:val="24"/>
              </w:rPr>
            </w:pPr>
            <w:r>
              <w:rPr>
                <w:rFonts w:hint="eastAsia" w:ascii="宋体" w:hAnsi="宋体" w:eastAsia="宋体" w:cs="Arial"/>
                <w:sz w:val="24"/>
              </w:rPr>
              <w:t>5</w:t>
            </w:r>
          </w:p>
        </w:tc>
        <w:tc>
          <w:tcPr>
            <w:tcW w:w="6092"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op w:w="60" w:type="dxa"/>
              <w:left w:w="120" w:type="dxa"/>
              <w:bottom w:w="30" w:type="dxa"/>
              <w:right w:w="120" w:type="dxa"/>
            </w:tcMar>
          </w:tcPr>
          <w:p w14:paraId="179A480C">
            <w:pPr>
              <w:widowControl/>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根据供应商具备以下认证的进行评审：</w:t>
            </w:r>
          </w:p>
          <w:p w14:paraId="14CAB34E">
            <w:pPr>
              <w:widowControl/>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w:t>
            </w:r>
            <w:r>
              <w:rPr>
                <w:rFonts w:ascii="宋体" w:hAnsi="宋体" w:eastAsia="宋体" w:cs="宋体"/>
                <w:color w:val="000000"/>
                <w:kern w:val="0"/>
                <w:sz w:val="21"/>
                <w:szCs w:val="21"/>
              </w:rPr>
              <w:t>具备有效ISO</w:t>
            </w:r>
            <w:r>
              <w:rPr>
                <w:rFonts w:hint="eastAsia" w:ascii="宋体" w:hAnsi="宋体" w:eastAsia="宋体" w:cs="宋体"/>
                <w:color w:val="000000"/>
                <w:kern w:val="0"/>
                <w:sz w:val="21"/>
                <w:szCs w:val="21"/>
              </w:rPr>
              <w:t>食品安全管理体系认证证书，得1分；</w:t>
            </w:r>
          </w:p>
          <w:p w14:paraId="3F4D68FF">
            <w:pPr>
              <w:widowControl/>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w:t>
            </w:r>
            <w:r>
              <w:rPr>
                <w:rFonts w:ascii="宋体" w:hAnsi="宋体" w:eastAsia="宋体" w:cs="宋体"/>
                <w:color w:val="000000"/>
                <w:kern w:val="0"/>
                <w:sz w:val="21"/>
                <w:szCs w:val="21"/>
              </w:rPr>
              <w:t>具备有效ISO</w:t>
            </w:r>
            <w:r>
              <w:rPr>
                <w:rFonts w:hint="eastAsia" w:ascii="宋体" w:hAnsi="宋体" w:eastAsia="宋体" w:cs="宋体"/>
                <w:color w:val="000000"/>
                <w:kern w:val="0"/>
                <w:sz w:val="21"/>
                <w:szCs w:val="21"/>
              </w:rPr>
              <w:t>质量管理体系认证证书，得1分；</w:t>
            </w:r>
          </w:p>
          <w:p w14:paraId="17C1CA60">
            <w:pPr>
              <w:widowControl/>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w:t>
            </w:r>
            <w:r>
              <w:rPr>
                <w:rFonts w:ascii="宋体" w:hAnsi="宋体" w:eastAsia="宋体" w:cs="宋体"/>
                <w:color w:val="000000"/>
                <w:kern w:val="0"/>
                <w:sz w:val="21"/>
                <w:szCs w:val="21"/>
              </w:rPr>
              <w:t>具备有效ISO</w:t>
            </w:r>
            <w:r>
              <w:rPr>
                <w:rFonts w:hint="eastAsia" w:ascii="宋体" w:hAnsi="宋体" w:eastAsia="宋体" w:cs="宋体"/>
                <w:color w:val="000000"/>
                <w:kern w:val="0"/>
                <w:sz w:val="21"/>
                <w:szCs w:val="21"/>
              </w:rPr>
              <w:t>环境管理体系认证证书，得1分；</w:t>
            </w:r>
          </w:p>
          <w:p w14:paraId="007D725C">
            <w:pPr>
              <w:widowControl/>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4.</w:t>
            </w:r>
            <w:r>
              <w:rPr>
                <w:rFonts w:ascii="宋体" w:hAnsi="宋体" w:eastAsia="宋体" w:cs="宋体"/>
                <w:color w:val="000000"/>
                <w:kern w:val="0"/>
                <w:sz w:val="21"/>
                <w:szCs w:val="21"/>
              </w:rPr>
              <w:t>具备有效ISO</w:t>
            </w:r>
            <w:r>
              <w:rPr>
                <w:rFonts w:hint="eastAsia" w:ascii="宋体" w:hAnsi="宋体" w:eastAsia="宋体" w:cs="宋体"/>
                <w:color w:val="000000"/>
                <w:kern w:val="0"/>
                <w:sz w:val="21"/>
                <w:szCs w:val="21"/>
              </w:rPr>
              <w:t>职业健康安全管理体系认证证书，得1分；</w:t>
            </w:r>
          </w:p>
          <w:p w14:paraId="6798F0B6">
            <w:pPr>
              <w:widowControl/>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5.</w:t>
            </w:r>
            <w:r>
              <w:rPr>
                <w:rFonts w:ascii="宋体" w:hAnsi="宋体" w:eastAsia="宋体" w:cs="宋体"/>
                <w:color w:val="000000"/>
                <w:kern w:val="0"/>
                <w:sz w:val="21"/>
                <w:szCs w:val="21"/>
              </w:rPr>
              <w:t>具备有效 HACCP 危害分析与关键控制点体系认证证书</w:t>
            </w:r>
            <w:r>
              <w:rPr>
                <w:rFonts w:hint="eastAsia" w:ascii="宋体" w:hAnsi="宋体" w:eastAsia="宋体" w:cs="宋体"/>
                <w:color w:val="000000"/>
                <w:kern w:val="0"/>
                <w:sz w:val="21"/>
                <w:szCs w:val="21"/>
              </w:rPr>
              <w:t>，得1分；</w:t>
            </w:r>
          </w:p>
          <w:p w14:paraId="1D9F069A">
            <w:pPr>
              <w:widowControl/>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备注：</w:t>
            </w:r>
            <w:r>
              <w:rPr>
                <w:rFonts w:ascii="宋体" w:hAnsi="宋体" w:eastAsia="宋体" w:cs="宋体"/>
                <w:color w:val="000000"/>
                <w:kern w:val="0"/>
                <w:sz w:val="21"/>
                <w:szCs w:val="21"/>
              </w:rPr>
              <w:t>须提供</w:t>
            </w:r>
            <w:r>
              <w:rPr>
                <w:rFonts w:hint="eastAsia" w:ascii="宋体" w:hAnsi="宋体" w:eastAsia="宋体" w:cs="宋体"/>
                <w:color w:val="000000"/>
                <w:kern w:val="0"/>
                <w:sz w:val="21"/>
                <w:szCs w:val="21"/>
              </w:rPr>
              <w:t>供应商</w:t>
            </w:r>
            <w:r>
              <w:rPr>
                <w:rFonts w:ascii="宋体" w:hAnsi="宋体" w:eastAsia="宋体" w:cs="宋体"/>
                <w:color w:val="000000"/>
                <w:kern w:val="0"/>
                <w:sz w:val="21"/>
                <w:szCs w:val="21"/>
              </w:rPr>
              <w:t>名下、在有效期内的对应体系认证证书复印件并加盖单位公章。未提供材料、证书过期、证书主体非本单位的，该项不予计分。</w:t>
            </w:r>
          </w:p>
        </w:tc>
      </w:tr>
      <w:tr w14:paraId="152B1E8A">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851"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op w:w="60" w:type="dxa"/>
              <w:left w:w="120" w:type="dxa"/>
              <w:bottom w:w="30" w:type="dxa"/>
              <w:right w:w="120" w:type="dxa"/>
            </w:tcMar>
          </w:tcPr>
          <w:p w14:paraId="13AD3DC5">
            <w:pPr>
              <w:spacing w:before="120" w:after="120" w:line="360" w:lineRule="auto"/>
              <w:jc w:val="center"/>
              <w:rPr>
                <w:rFonts w:hint="eastAsia" w:ascii="宋体" w:hAnsi="宋体" w:eastAsia="宋体"/>
                <w:sz w:val="24"/>
              </w:rPr>
            </w:pPr>
            <w:r>
              <w:rPr>
                <w:rFonts w:hint="eastAsia" w:ascii="宋体" w:hAnsi="宋体" w:eastAsia="宋体" w:cs="Arial"/>
                <w:sz w:val="24"/>
              </w:rPr>
              <w:t>3</w:t>
            </w:r>
          </w:p>
        </w:tc>
        <w:tc>
          <w:tcPr>
            <w:tcW w:w="1417"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op w:w="60" w:type="dxa"/>
              <w:left w:w="120" w:type="dxa"/>
              <w:bottom w:w="30" w:type="dxa"/>
              <w:right w:w="120" w:type="dxa"/>
            </w:tcMar>
          </w:tcPr>
          <w:p w14:paraId="78275AFF">
            <w:pPr>
              <w:spacing w:before="120" w:after="120" w:line="360" w:lineRule="auto"/>
              <w:jc w:val="center"/>
              <w:rPr>
                <w:rFonts w:hint="eastAsia" w:ascii="宋体" w:hAnsi="宋体" w:eastAsia="宋体"/>
                <w:sz w:val="24"/>
              </w:rPr>
            </w:pPr>
            <w:r>
              <w:rPr>
                <w:rFonts w:ascii="宋体" w:hAnsi="宋体" w:eastAsia="宋体" w:cs="Arial"/>
                <w:sz w:val="24"/>
              </w:rPr>
              <w:t>同类项目业绩经验</w:t>
            </w:r>
          </w:p>
        </w:tc>
        <w:tc>
          <w:tcPr>
            <w:tcW w:w="993"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op w:w="60" w:type="dxa"/>
              <w:left w:w="120" w:type="dxa"/>
              <w:bottom w:w="30" w:type="dxa"/>
              <w:right w:w="120" w:type="dxa"/>
            </w:tcMar>
          </w:tcPr>
          <w:p w14:paraId="18DADDD4">
            <w:pPr>
              <w:spacing w:before="120" w:after="120" w:line="360" w:lineRule="auto"/>
              <w:jc w:val="center"/>
              <w:rPr>
                <w:rFonts w:hint="eastAsia" w:ascii="宋体" w:hAnsi="宋体" w:eastAsia="宋体"/>
                <w:sz w:val="24"/>
              </w:rPr>
            </w:pPr>
            <w:r>
              <w:rPr>
                <w:rFonts w:hint="eastAsia" w:ascii="宋体" w:hAnsi="宋体" w:eastAsia="宋体" w:cs="Arial"/>
                <w:sz w:val="24"/>
              </w:rPr>
              <w:t>8</w:t>
            </w:r>
            <w:r>
              <w:rPr>
                <w:rFonts w:ascii="宋体" w:hAnsi="宋体" w:eastAsia="宋体" w:cs="Arial"/>
                <w:sz w:val="24"/>
              </w:rPr>
              <w:t>分</w:t>
            </w:r>
          </w:p>
        </w:tc>
        <w:tc>
          <w:tcPr>
            <w:tcW w:w="6092"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op w:w="60" w:type="dxa"/>
              <w:left w:w="120" w:type="dxa"/>
              <w:bottom w:w="30" w:type="dxa"/>
              <w:right w:w="120" w:type="dxa"/>
            </w:tcMar>
          </w:tcPr>
          <w:p w14:paraId="1F7CC4CA">
            <w:pPr>
              <w:widowControl/>
              <w:rPr>
                <w:rFonts w:hint="eastAsia" w:ascii="宋体" w:hAnsi="宋体" w:eastAsia="宋体" w:cs="宋体"/>
                <w:color w:val="000000"/>
                <w:kern w:val="0"/>
                <w:sz w:val="24"/>
              </w:rPr>
            </w:pPr>
            <w:bookmarkStart w:id="19" w:name="OLE_LINK1"/>
            <w:r>
              <w:rPr>
                <w:rFonts w:hint="eastAsia" w:ascii="宋体" w:hAnsi="宋体" w:eastAsia="宋体" w:cs="宋体"/>
                <w:color w:val="000000"/>
                <w:kern w:val="0"/>
                <w:sz w:val="24"/>
              </w:rPr>
              <w:t>自2023年1月1日至投标截止时间完成的同类项目业绩：</w:t>
            </w:r>
          </w:p>
          <w:p w14:paraId="10964AC2">
            <w:pPr>
              <w:widowControl/>
              <w:rPr>
                <w:rFonts w:hint="eastAsia" w:ascii="宋体" w:hAnsi="宋体" w:eastAsia="宋体" w:cs="宋体"/>
                <w:color w:val="000000"/>
                <w:kern w:val="0"/>
                <w:sz w:val="24"/>
              </w:rPr>
            </w:pPr>
            <w:r>
              <w:rPr>
                <w:rFonts w:hint="eastAsia" w:ascii="宋体" w:hAnsi="宋体" w:eastAsia="宋体" w:cs="宋体"/>
                <w:color w:val="000000"/>
                <w:kern w:val="0"/>
                <w:sz w:val="24"/>
              </w:rPr>
              <w:t>60万元（含）以上的业绩每提供一个得2分；</w:t>
            </w:r>
          </w:p>
          <w:p w14:paraId="70BEB1FD">
            <w:pPr>
              <w:widowControl/>
              <w:rPr>
                <w:rFonts w:hint="eastAsia" w:ascii="宋体" w:hAnsi="宋体" w:eastAsia="宋体" w:cs="宋体"/>
                <w:color w:val="000000"/>
                <w:kern w:val="0"/>
                <w:sz w:val="24"/>
              </w:rPr>
            </w:pPr>
            <w:r>
              <w:rPr>
                <w:rFonts w:hint="eastAsia" w:ascii="宋体" w:hAnsi="宋体" w:eastAsia="宋体" w:cs="宋体"/>
                <w:color w:val="000000"/>
                <w:kern w:val="0"/>
                <w:sz w:val="24"/>
              </w:rPr>
              <w:t>30万元（含）以上业绩每提供一个得1分；</w:t>
            </w:r>
          </w:p>
          <w:p w14:paraId="5EBF3BFB">
            <w:pPr>
              <w:widowControl/>
              <w:rPr>
                <w:rFonts w:hint="eastAsia" w:ascii="宋体" w:hAnsi="宋体" w:eastAsia="宋体" w:cs="宋体"/>
                <w:color w:val="000000"/>
                <w:kern w:val="0"/>
                <w:sz w:val="24"/>
              </w:rPr>
            </w:pPr>
            <w:r>
              <w:rPr>
                <w:rFonts w:hint="eastAsia" w:ascii="宋体" w:hAnsi="宋体" w:eastAsia="宋体" w:cs="宋体"/>
                <w:color w:val="000000"/>
                <w:kern w:val="0"/>
                <w:sz w:val="24"/>
              </w:rPr>
              <w:t>最高不超过8分。</w:t>
            </w:r>
          </w:p>
          <w:p w14:paraId="696CFCCC">
            <w:pPr>
              <w:spacing w:before="120" w:after="120" w:line="360" w:lineRule="auto"/>
              <w:rPr>
                <w:rFonts w:hint="eastAsia" w:ascii="宋体" w:hAnsi="宋体" w:eastAsia="宋体"/>
                <w:sz w:val="24"/>
              </w:rPr>
            </w:pPr>
            <w:r>
              <w:rPr>
                <w:rFonts w:hint="eastAsia" w:ascii="宋体" w:hAnsi="宋体" w:eastAsia="宋体" w:cs="宋体"/>
                <w:color w:val="000000"/>
                <w:kern w:val="0"/>
                <w:sz w:val="24"/>
              </w:rPr>
              <w:t>备注：供应商须提供合同关键页（包括但不限于合同首页、服务内容、金额或其他能体现评审内容的页面、盖章页）复印件，否则不得分。同一合作方不同年度的合同只算一份。</w:t>
            </w:r>
            <w:bookmarkEnd w:id="19"/>
          </w:p>
        </w:tc>
      </w:tr>
      <w:tr w14:paraId="1A49D8DE">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851"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op w:w="60" w:type="dxa"/>
              <w:left w:w="120" w:type="dxa"/>
              <w:bottom w:w="30" w:type="dxa"/>
              <w:right w:w="120" w:type="dxa"/>
            </w:tcMar>
          </w:tcPr>
          <w:p w14:paraId="3E0360BD">
            <w:pPr>
              <w:spacing w:before="120" w:after="120" w:line="360" w:lineRule="auto"/>
              <w:jc w:val="center"/>
              <w:rPr>
                <w:rFonts w:hint="eastAsia" w:ascii="宋体" w:hAnsi="宋体" w:eastAsia="宋体"/>
                <w:sz w:val="24"/>
              </w:rPr>
            </w:pPr>
            <w:r>
              <w:rPr>
                <w:rFonts w:hint="eastAsia" w:ascii="宋体" w:hAnsi="宋体" w:eastAsia="宋体" w:cs="Arial"/>
                <w:sz w:val="24"/>
              </w:rPr>
              <w:t>4</w:t>
            </w:r>
          </w:p>
        </w:tc>
        <w:tc>
          <w:tcPr>
            <w:tcW w:w="1417"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op w:w="60" w:type="dxa"/>
              <w:left w:w="120" w:type="dxa"/>
              <w:bottom w:w="30" w:type="dxa"/>
              <w:right w:w="120" w:type="dxa"/>
            </w:tcMar>
          </w:tcPr>
          <w:p w14:paraId="22A30622">
            <w:pPr>
              <w:spacing w:before="120" w:after="120" w:line="360" w:lineRule="auto"/>
              <w:jc w:val="center"/>
              <w:rPr>
                <w:rFonts w:hint="eastAsia" w:ascii="宋体" w:hAnsi="宋体" w:eastAsia="宋体"/>
                <w:sz w:val="24"/>
              </w:rPr>
            </w:pPr>
            <w:r>
              <w:rPr>
                <w:rFonts w:ascii="宋体" w:hAnsi="宋体" w:eastAsia="宋体" w:cs="Arial"/>
                <w:sz w:val="24"/>
              </w:rPr>
              <w:t>配送服务方案</w:t>
            </w:r>
          </w:p>
        </w:tc>
        <w:tc>
          <w:tcPr>
            <w:tcW w:w="993"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op w:w="60" w:type="dxa"/>
              <w:left w:w="120" w:type="dxa"/>
              <w:bottom w:w="30" w:type="dxa"/>
              <w:right w:w="120" w:type="dxa"/>
            </w:tcMar>
          </w:tcPr>
          <w:p w14:paraId="632F072A">
            <w:pPr>
              <w:spacing w:before="120" w:after="120" w:line="360" w:lineRule="auto"/>
              <w:jc w:val="center"/>
              <w:rPr>
                <w:rFonts w:hint="eastAsia" w:ascii="宋体" w:hAnsi="宋体" w:eastAsia="宋体"/>
                <w:sz w:val="24"/>
              </w:rPr>
            </w:pPr>
            <w:r>
              <w:rPr>
                <w:rFonts w:hint="eastAsia" w:ascii="宋体" w:hAnsi="宋体" w:eastAsia="宋体" w:cs="Arial"/>
                <w:sz w:val="24"/>
              </w:rPr>
              <w:t>4</w:t>
            </w:r>
            <w:r>
              <w:rPr>
                <w:rFonts w:ascii="宋体" w:hAnsi="宋体" w:eastAsia="宋体" w:cs="Arial"/>
                <w:sz w:val="24"/>
              </w:rPr>
              <w:t>分</w:t>
            </w:r>
          </w:p>
        </w:tc>
        <w:tc>
          <w:tcPr>
            <w:tcW w:w="6092"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op w:w="60" w:type="dxa"/>
              <w:left w:w="120" w:type="dxa"/>
              <w:bottom w:w="30" w:type="dxa"/>
              <w:right w:w="120" w:type="dxa"/>
            </w:tcMar>
          </w:tcPr>
          <w:p w14:paraId="1E32B4AB">
            <w:pPr>
              <w:spacing w:before="120" w:after="120" w:line="360" w:lineRule="auto"/>
              <w:jc w:val="both"/>
              <w:rPr>
                <w:rFonts w:hint="eastAsia" w:ascii="宋体" w:hAnsi="宋体" w:eastAsia="宋体" w:cs="Arial"/>
                <w:sz w:val="24"/>
              </w:rPr>
            </w:pPr>
            <w:r>
              <w:rPr>
                <w:rFonts w:ascii="宋体" w:hAnsi="宋体" w:eastAsia="宋体" w:cs="Arial"/>
                <w:sz w:val="24"/>
              </w:rPr>
              <w:t>优秀（</w:t>
            </w:r>
            <w:r>
              <w:rPr>
                <w:rFonts w:hint="eastAsia" w:ascii="宋体" w:hAnsi="宋体" w:eastAsia="宋体" w:cs="Arial"/>
                <w:sz w:val="24"/>
              </w:rPr>
              <w:t>4</w:t>
            </w:r>
            <w:r>
              <w:rPr>
                <w:rFonts w:ascii="宋体" w:hAnsi="宋体" w:eastAsia="宋体" w:cs="Arial"/>
                <w:sz w:val="24"/>
              </w:rPr>
              <w:t>分）：方案完善，配送保障措施具体可行，优于采购需求；良好（</w:t>
            </w:r>
            <w:r>
              <w:rPr>
                <w:rFonts w:hint="eastAsia" w:ascii="宋体" w:hAnsi="宋体" w:eastAsia="宋体" w:cs="Arial"/>
                <w:sz w:val="24"/>
              </w:rPr>
              <w:t>2-3</w:t>
            </w:r>
            <w:r>
              <w:rPr>
                <w:rFonts w:ascii="宋体" w:hAnsi="宋体" w:eastAsia="宋体" w:cs="Arial"/>
                <w:sz w:val="24"/>
              </w:rPr>
              <w:t>分）：方案较完善，保障措施能完全满足采购需求录；一般（</w:t>
            </w:r>
            <w:r>
              <w:rPr>
                <w:rFonts w:hint="eastAsia" w:ascii="宋体" w:hAnsi="宋体" w:eastAsia="宋体" w:cs="Arial"/>
                <w:sz w:val="24"/>
              </w:rPr>
              <w:t>1</w:t>
            </w:r>
            <w:r>
              <w:rPr>
                <w:rFonts w:ascii="宋体" w:hAnsi="宋体" w:eastAsia="宋体" w:cs="Arial"/>
                <w:sz w:val="24"/>
              </w:rPr>
              <w:t>分）：方案简略，保障措施不具体，部分满足采购需求</w:t>
            </w:r>
            <w:r>
              <w:rPr>
                <w:rFonts w:hint="eastAsia" w:ascii="宋体" w:hAnsi="宋体" w:eastAsia="宋体" w:cs="Arial"/>
                <w:sz w:val="24"/>
              </w:rPr>
              <w:t>；未提供方案的得0分。</w:t>
            </w:r>
          </w:p>
        </w:tc>
      </w:tr>
      <w:tr w14:paraId="0AC9541D">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851"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op w:w="60" w:type="dxa"/>
              <w:left w:w="120" w:type="dxa"/>
              <w:bottom w:w="30" w:type="dxa"/>
              <w:right w:w="120" w:type="dxa"/>
            </w:tcMar>
          </w:tcPr>
          <w:p w14:paraId="1E1180D6">
            <w:pPr>
              <w:spacing w:before="120" w:after="120" w:line="360" w:lineRule="auto"/>
              <w:jc w:val="center"/>
              <w:rPr>
                <w:rFonts w:hint="eastAsia" w:ascii="宋体" w:hAnsi="宋体" w:eastAsia="宋体"/>
                <w:sz w:val="24"/>
              </w:rPr>
            </w:pPr>
            <w:r>
              <w:rPr>
                <w:rFonts w:hint="eastAsia" w:ascii="宋体" w:hAnsi="宋体" w:eastAsia="宋体" w:cs="Arial"/>
                <w:sz w:val="24"/>
              </w:rPr>
              <w:t>5</w:t>
            </w:r>
          </w:p>
        </w:tc>
        <w:tc>
          <w:tcPr>
            <w:tcW w:w="1417"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op w:w="60" w:type="dxa"/>
              <w:left w:w="120" w:type="dxa"/>
              <w:bottom w:w="30" w:type="dxa"/>
              <w:right w:w="120" w:type="dxa"/>
            </w:tcMar>
          </w:tcPr>
          <w:p w14:paraId="20885076">
            <w:pPr>
              <w:spacing w:before="120" w:after="120" w:line="360" w:lineRule="auto"/>
              <w:jc w:val="center"/>
              <w:rPr>
                <w:rFonts w:hint="eastAsia" w:ascii="宋体" w:hAnsi="宋体" w:eastAsia="宋体"/>
                <w:sz w:val="24"/>
              </w:rPr>
            </w:pPr>
            <w:r>
              <w:rPr>
                <w:rFonts w:ascii="宋体" w:hAnsi="宋体" w:eastAsia="宋体" w:cs="Arial"/>
                <w:sz w:val="24"/>
              </w:rPr>
              <w:t>售后服务及退换货方案</w:t>
            </w:r>
          </w:p>
        </w:tc>
        <w:tc>
          <w:tcPr>
            <w:tcW w:w="993"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op w:w="60" w:type="dxa"/>
              <w:left w:w="120" w:type="dxa"/>
              <w:bottom w:w="30" w:type="dxa"/>
              <w:right w:w="120" w:type="dxa"/>
            </w:tcMar>
          </w:tcPr>
          <w:p w14:paraId="2883739E">
            <w:pPr>
              <w:spacing w:before="120" w:after="120" w:line="360" w:lineRule="auto"/>
              <w:jc w:val="center"/>
              <w:rPr>
                <w:rFonts w:hint="eastAsia" w:ascii="宋体" w:hAnsi="宋体" w:eastAsia="宋体"/>
                <w:sz w:val="24"/>
              </w:rPr>
            </w:pPr>
            <w:r>
              <w:rPr>
                <w:rFonts w:hint="eastAsia" w:ascii="宋体" w:hAnsi="宋体" w:eastAsia="宋体" w:cs="Arial"/>
                <w:sz w:val="24"/>
              </w:rPr>
              <w:t>6</w:t>
            </w:r>
            <w:r>
              <w:rPr>
                <w:rFonts w:ascii="宋体" w:hAnsi="宋体" w:eastAsia="宋体" w:cs="Arial"/>
                <w:sz w:val="24"/>
              </w:rPr>
              <w:t>分</w:t>
            </w:r>
          </w:p>
        </w:tc>
        <w:tc>
          <w:tcPr>
            <w:tcW w:w="6092"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op w:w="60" w:type="dxa"/>
              <w:left w:w="120" w:type="dxa"/>
              <w:bottom w:w="30" w:type="dxa"/>
              <w:right w:w="120" w:type="dxa"/>
            </w:tcMar>
          </w:tcPr>
          <w:p w14:paraId="55F74971">
            <w:pPr>
              <w:spacing w:before="120" w:after="120" w:line="360" w:lineRule="auto"/>
              <w:jc w:val="center"/>
              <w:rPr>
                <w:rFonts w:hint="eastAsia" w:ascii="宋体" w:hAnsi="宋体" w:eastAsia="宋体"/>
                <w:sz w:val="24"/>
              </w:rPr>
            </w:pPr>
            <w:r>
              <w:rPr>
                <w:rFonts w:ascii="宋体" w:hAnsi="宋体" w:eastAsia="宋体" w:cs="Arial"/>
                <w:sz w:val="24"/>
              </w:rPr>
              <w:t>优秀（</w:t>
            </w:r>
            <w:r>
              <w:rPr>
                <w:rFonts w:hint="eastAsia" w:ascii="宋体" w:hAnsi="宋体" w:eastAsia="宋体" w:cs="Arial"/>
                <w:sz w:val="24"/>
              </w:rPr>
              <w:t>5-6</w:t>
            </w:r>
            <w:r>
              <w:rPr>
                <w:rFonts w:ascii="宋体" w:hAnsi="宋体" w:eastAsia="宋体" w:cs="Arial"/>
                <w:sz w:val="24"/>
              </w:rPr>
              <w:t>分）：方案详细，投诉/应急处理机制完善</w:t>
            </w:r>
            <w:r>
              <w:rPr>
                <w:rFonts w:hint="eastAsia" w:ascii="宋体" w:hAnsi="宋体" w:eastAsia="宋体" w:cs="Arial"/>
                <w:sz w:val="24"/>
              </w:rPr>
              <w:t>，能保障项目的高效实施</w:t>
            </w:r>
            <w:r>
              <w:rPr>
                <w:rFonts w:ascii="宋体" w:hAnsi="宋体" w:eastAsia="宋体" w:cs="Arial"/>
                <w:sz w:val="24"/>
              </w:rPr>
              <w:t>；良好（</w:t>
            </w:r>
            <w:r>
              <w:rPr>
                <w:rFonts w:hint="eastAsia" w:ascii="宋体" w:hAnsi="宋体" w:eastAsia="宋体" w:cs="Arial"/>
                <w:sz w:val="24"/>
              </w:rPr>
              <w:t>3-4</w:t>
            </w:r>
            <w:r>
              <w:rPr>
                <w:rFonts w:ascii="宋体" w:hAnsi="宋体" w:eastAsia="宋体" w:cs="Arial"/>
                <w:sz w:val="24"/>
              </w:rPr>
              <w:t>分）：方案较详细，有基本投诉/应急措施</w:t>
            </w:r>
            <w:r>
              <w:rPr>
                <w:rFonts w:hint="eastAsia" w:ascii="宋体" w:hAnsi="宋体" w:eastAsia="宋体" w:cs="Arial"/>
                <w:sz w:val="24"/>
              </w:rPr>
              <w:t>，较能保障项目的高效实施</w:t>
            </w:r>
            <w:r>
              <w:rPr>
                <w:rFonts w:ascii="宋体" w:hAnsi="宋体" w:eastAsia="宋体" w:cs="Arial"/>
                <w:sz w:val="24"/>
              </w:rPr>
              <w:t>；一般（</w:t>
            </w:r>
            <w:r>
              <w:rPr>
                <w:rFonts w:hint="eastAsia" w:ascii="宋体" w:hAnsi="宋体" w:eastAsia="宋体" w:cs="Arial"/>
                <w:sz w:val="24"/>
              </w:rPr>
              <w:t>1-2</w:t>
            </w:r>
            <w:r>
              <w:rPr>
                <w:rFonts w:ascii="宋体" w:hAnsi="宋体" w:eastAsia="宋体" w:cs="Arial"/>
                <w:sz w:val="24"/>
              </w:rPr>
              <w:t>分）：方案简略，退换货时效长，处理措施不完善</w:t>
            </w:r>
            <w:r>
              <w:rPr>
                <w:rFonts w:hint="eastAsia" w:ascii="宋体" w:hAnsi="宋体" w:eastAsia="宋体" w:cs="Arial"/>
                <w:sz w:val="24"/>
              </w:rPr>
              <w:t>，保障项目的实施程度低</w:t>
            </w:r>
            <w:r>
              <w:rPr>
                <w:rFonts w:ascii="宋体" w:hAnsi="宋体" w:eastAsia="宋体" w:cs="Arial"/>
                <w:sz w:val="24"/>
              </w:rPr>
              <w:t>；</w:t>
            </w:r>
            <w:r>
              <w:rPr>
                <w:rFonts w:hint="eastAsia" w:ascii="宋体" w:hAnsi="宋体" w:eastAsia="宋体" w:cs="Arial"/>
                <w:sz w:val="24"/>
              </w:rPr>
              <w:t>未提供方案的得0分。</w:t>
            </w:r>
          </w:p>
        </w:tc>
      </w:tr>
      <w:tr w14:paraId="57F33054">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851"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op w:w="60" w:type="dxa"/>
              <w:left w:w="120" w:type="dxa"/>
              <w:bottom w:w="30" w:type="dxa"/>
              <w:right w:w="120" w:type="dxa"/>
            </w:tcMar>
          </w:tcPr>
          <w:p w14:paraId="68AC8AC4">
            <w:pPr>
              <w:spacing w:before="120" w:after="120" w:line="360" w:lineRule="auto"/>
              <w:jc w:val="center"/>
              <w:rPr>
                <w:rFonts w:hint="eastAsia" w:ascii="宋体" w:hAnsi="宋体" w:eastAsia="宋体"/>
                <w:sz w:val="24"/>
              </w:rPr>
            </w:pPr>
            <w:r>
              <w:rPr>
                <w:rFonts w:hint="eastAsia" w:ascii="宋体" w:hAnsi="宋体" w:eastAsia="宋体" w:cs="Arial"/>
                <w:sz w:val="24"/>
              </w:rPr>
              <w:t>6</w:t>
            </w:r>
          </w:p>
        </w:tc>
        <w:tc>
          <w:tcPr>
            <w:tcW w:w="1417"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op w:w="60" w:type="dxa"/>
              <w:left w:w="120" w:type="dxa"/>
              <w:bottom w:w="30" w:type="dxa"/>
              <w:right w:w="120" w:type="dxa"/>
            </w:tcMar>
          </w:tcPr>
          <w:p w14:paraId="3E545DD1">
            <w:pPr>
              <w:spacing w:before="120" w:after="120" w:line="360" w:lineRule="auto"/>
              <w:jc w:val="center"/>
              <w:rPr>
                <w:rFonts w:hint="eastAsia" w:ascii="宋体" w:hAnsi="宋体" w:eastAsia="宋体"/>
                <w:sz w:val="24"/>
              </w:rPr>
            </w:pPr>
            <w:r>
              <w:rPr>
                <w:rFonts w:ascii="宋体" w:hAnsi="宋体" w:eastAsia="宋体" w:cs="Arial"/>
                <w:sz w:val="24"/>
              </w:rPr>
              <w:t>质量保障措施及安全控制方案</w:t>
            </w:r>
          </w:p>
        </w:tc>
        <w:tc>
          <w:tcPr>
            <w:tcW w:w="993"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op w:w="60" w:type="dxa"/>
              <w:left w:w="120" w:type="dxa"/>
              <w:bottom w:w="30" w:type="dxa"/>
              <w:right w:w="120" w:type="dxa"/>
            </w:tcMar>
          </w:tcPr>
          <w:p w14:paraId="459FE1E2">
            <w:pPr>
              <w:spacing w:before="120" w:after="120" w:line="360" w:lineRule="auto"/>
              <w:jc w:val="center"/>
              <w:rPr>
                <w:rFonts w:hint="eastAsia" w:ascii="宋体" w:hAnsi="宋体" w:eastAsia="宋体"/>
                <w:sz w:val="24"/>
              </w:rPr>
            </w:pPr>
            <w:r>
              <w:rPr>
                <w:rFonts w:hint="eastAsia" w:ascii="宋体" w:hAnsi="宋体" w:eastAsia="宋体" w:cs="Arial"/>
                <w:sz w:val="24"/>
              </w:rPr>
              <w:t>10</w:t>
            </w:r>
            <w:r>
              <w:rPr>
                <w:rFonts w:ascii="宋体" w:hAnsi="宋体" w:eastAsia="宋体" w:cs="Arial"/>
                <w:sz w:val="24"/>
              </w:rPr>
              <w:t>分</w:t>
            </w:r>
          </w:p>
        </w:tc>
        <w:tc>
          <w:tcPr>
            <w:tcW w:w="6092"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op w:w="60" w:type="dxa"/>
              <w:left w:w="120" w:type="dxa"/>
              <w:bottom w:w="30" w:type="dxa"/>
              <w:right w:w="120" w:type="dxa"/>
            </w:tcMar>
          </w:tcPr>
          <w:p w14:paraId="7D0C3250">
            <w:pPr>
              <w:spacing w:before="120" w:after="120" w:line="360" w:lineRule="auto"/>
              <w:jc w:val="center"/>
              <w:rPr>
                <w:rFonts w:hint="eastAsia" w:ascii="宋体" w:hAnsi="宋体" w:eastAsia="宋体" w:cs="Arial"/>
                <w:sz w:val="24"/>
              </w:rPr>
            </w:pPr>
            <w:r>
              <w:rPr>
                <w:rFonts w:ascii="宋体" w:hAnsi="宋体" w:eastAsia="宋体" w:cs="Arial"/>
                <w:sz w:val="24"/>
              </w:rPr>
              <w:t>优秀（</w:t>
            </w:r>
            <w:r>
              <w:rPr>
                <w:rFonts w:hint="eastAsia" w:ascii="宋体" w:hAnsi="宋体" w:eastAsia="宋体" w:cs="Arial"/>
                <w:sz w:val="24"/>
              </w:rPr>
              <w:t>9-10</w:t>
            </w:r>
            <w:r>
              <w:rPr>
                <w:rFonts w:ascii="宋体" w:hAnsi="宋体" w:eastAsia="宋体" w:cs="Arial"/>
                <w:sz w:val="24"/>
              </w:rPr>
              <w:t>分）：方案覆盖全流程，溯源/检验/管理规范完善，措施具体；良好（</w:t>
            </w:r>
            <w:r>
              <w:rPr>
                <w:rFonts w:hint="eastAsia" w:ascii="宋体" w:hAnsi="宋体" w:eastAsia="宋体" w:cs="Arial"/>
                <w:sz w:val="24"/>
              </w:rPr>
              <w:t>6-8</w:t>
            </w:r>
            <w:r>
              <w:rPr>
                <w:rFonts w:ascii="宋体" w:hAnsi="宋体" w:eastAsia="宋体" w:cs="Arial"/>
                <w:sz w:val="24"/>
              </w:rPr>
              <w:t>分）：方案覆盖主要环节，有基本质量控制措施；一般（</w:t>
            </w:r>
            <w:r>
              <w:rPr>
                <w:rFonts w:hint="eastAsia" w:ascii="宋体" w:hAnsi="宋体" w:eastAsia="宋体" w:cs="Arial"/>
                <w:sz w:val="24"/>
              </w:rPr>
              <w:t>1-5</w:t>
            </w:r>
            <w:r>
              <w:rPr>
                <w:rFonts w:ascii="宋体" w:hAnsi="宋体" w:eastAsia="宋体" w:cs="Arial"/>
                <w:sz w:val="24"/>
              </w:rPr>
              <w:t>分）：方案简略，仅覆盖部分环节，措施不具体；</w:t>
            </w:r>
            <w:r>
              <w:rPr>
                <w:rFonts w:hint="eastAsia" w:ascii="宋体" w:hAnsi="宋体" w:eastAsia="宋体" w:cs="Arial"/>
                <w:sz w:val="24"/>
              </w:rPr>
              <w:t>未提供方案的得0分。</w:t>
            </w:r>
          </w:p>
        </w:tc>
      </w:tr>
      <w:tr w14:paraId="699A2C97">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851"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op w:w="60" w:type="dxa"/>
              <w:left w:w="120" w:type="dxa"/>
              <w:bottom w:w="30" w:type="dxa"/>
              <w:right w:w="120" w:type="dxa"/>
            </w:tcMar>
          </w:tcPr>
          <w:p w14:paraId="0CC46F7E">
            <w:pPr>
              <w:spacing w:before="120" w:after="120" w:line="360" w:lineRule="auto"/>
              <w:jc w:val="center"/>
              <w:rPr>
                <w:rFonts w:hint="eastAsia" w:ascii="宋体" w:hAnsi="宋体" w:eastAsia="宋体" w:cs="Arial"/>
                <w:sz w:val="24"/>
              </w:rPr>
            </w:pPr>
            <w:r>
              <w:rPr>
                <w:rFonts w:hint="eastAsia" w:ascii="宋体" w:hAnsi="宋体" w:eastAsia="宋体" w:cs="Arial"/>
                <w:sz w:val="24"/>
              </w:rPr>
              <w:t>7</w:t>
            </w:r>
          </w:p>
        </w:tc>
        <w:tc>
          <w:tcPr>
            <w:tcW w:w="1417"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op w:w="60" w:type="dxa"/>
              <w:left w:w="120" w:type="dxa"/>
              <w:bottom w:w="30" w:type="dxa"/>
              <w:right w:w="120" w:type="dxa"/>
            </w:tcMar>
          </w:tcPr>
          <w:p w14:paraId="66F5F6EF">
            <w:pPr>
              <w:spacing w:before="120" w:after="120" w:line="360" w:lineRule="auto"/>
              <w:jc w:val="center"/>
              <w:rPr>
                <w:rFonts w:hint="eastAsia" w:ascii="宋体" w:hAnsi="宋体" w:eastAsia="宋体" w:cs="Arial"/>
                <w:sz w:val="24"/>
              </w:rPr>
            </w:pPr>
            <w:r>
              <w:rPr>
                <w:rFonts w:hint="eastAsia" w:ascii="宋体" w:hAnsi="宋体" w:eastAsia="宋体" w:cs="Arial"/>
                <w:sz w:val="24"/>
              </w:rPr>
              <w:t>到货周期</w:t>
            </w:r>
            <w:r>
              <w:rPr>
                <w:rFonts w:ascii="宋体" w:hAnsi="宋体" w:eastAsia="宋体" w:cs="Arial"/>
                <w:sz w:val="24"/>
              </w:rPr>
              <w:t>时间</w:t>
            </w:r>
          </w:p>
        </w:tc>
        <w:tc>
          <w:tcPr>
            <w:tcW w:w="993"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op w:w="60" w:type="dxa"/>
              <w:left w:w="120" w:type="dxa"/>
              <w:bottom w:w="30" w:type="dxa"/>
              <w:right w:w="120" w:type="dxa"/>
            </w:tcMar>
          </w:tcPr>
          <w:p w14:paraId="050F1794">
            <w:pPr>
              <w:spacing w:before="120" w:after="120" w:line="360" w:lineRule="auto"/>
              <w:jc w:val="center"/>
              <w:rPr>
                <w:rFonts w:hint="eastAsia" w:ascii="宋体" w:hAnsi="宋体" w:eastAsia="宋体" w:cs="Arial"/>
                <w:sz w:val="24"/>
              </w:rPr>
            </w:pPr>
            <w:r>
              <w:rPr>
                <w:rFonts w:hint="eastAsia" w:ascii="宋体" w:hAnsi="宋体" w:eastAsia="宋体" w:cs="Arial"/>
                <w:sz w:val="24"/>
              </w:rPr>
              <w:t>3分</w:t>
            </w:r>
          </w:p>
        </w:tc>
        <w:tc>
          <w:tcPr>
            <w:tcW w:w="6092"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op w:w="60" w:type="dxa"/>
              <w:left w:w="120" w:type="dxa"/>
              <w:bottom w:w="30" w:type="dxa"/>
              <w:right w:w="120" w:type="dxa"/>
            </w:tcMar>
          </w:tcPr>
          <w:p w14:paraId="6BA61CC2">
            <w:pPr>
              <w:autoSpaceDE w:val="0"/>
              <w:autoSpaceDN w:val="0"/>
              <w:adjustRightInd w:val="0"/>
              <w:snapToGrid w:val="0"/>
              <w:spacing w:after="0" w:line="336" w:lineRule="auto"/>
              <w:jc w:val="both"/>
              <w:rPr>
                <w:rFonts w:hint="eastAsia" w:ascii="宋体" w:hAnsi="宋体" w:eastAsia="宋体" w:cs="Times New Roman"/>
                <w:kern w:val="0"/>
                <w:sz w:val="24"/>
                <w14:ligatures w14:val="none"/>
              </w:rPr>
            </w:pPr>
            <w:r>
              <w:rPr>
                <w:rFonts w:ascii="宋体" w:hAnsi="宋体" w:eastAsia="宋体" w:cs="Times New Roman"/>
                <w:kern w:val="0"/>
                <w:sz w:val="24"/>
                <w14:ligatures w14:val="none"/>
              </w:rPr>
              <w:t>根据</w:t>
            </w:r>
            <w:r>
              <w:rPr>
                <w:rFonts w:hint="eastAsia" w:ascii="宋体" w:hAnsi="宋体" w:eastAsia="宋体" w:cs="Times New Roman"/>
                <w:kern w:val="0"/>
                <w:sz w:val="24"/>
                <w14:ligatures w14:val="none"/>
              </w:rPr>
              <w:t>供应商</w:t>
            </w:r>
            <w:r>
              <w:rPr>
                <w:rFonts w:ascii="宋体" w:hAnsi="宋体" w:eastAsia="宋体" w:cs="Times New Roman"/>
                <w:kern w:val="0"/>
                <w:sz w:val="24"/>
                <w14:ligatures w14:val="none"/>
              </w:rPr>
              <w:t>在</w:t>
            </w:r>
            <w:r>
              <w:rPr>
                <w:rFonts w:hint="eastAsia" w:ascii="宋体" w:hAnsi="宋体" w:eastAsia="宋体" w:cs="Times New Roman"/>
                <w:kern w:val="0"/>
                <w:sz w:val="24"/>
                <w14:ligatures w14:val="none"/>
              </w:rPr>
              <w:t>《附件8 报价清单》</w:t>
            </w:r>
            <w:r>
              <w:rPr>
                <w:rFonts w:ascii="宋体" w:hAnsi="宋体" w:eastAsia="宋体" w:cs="Times New Roman"/>
                <w:kern w:val="0"/>
                <w:sz w:val="24"/>
                <w14:ligatures w14:val="none"/>
              </w:rPr>
              <w:t>中</w:t>
            </w:r>
            <w:r>
              <w:rPr>
                <w:rFonts w:hint="eastAsia" w:ascii="宋体" w:hAnsi="宋体" w:eastAsia="宋体" w:cs="Times New Roman"/>
                <w:kern w:val="0"/>
                <w:sz w:val="24"/>
                <w14:ligatures w14:val="none"/>
              </w:rPr>
              <w:t>填报的到货周期</w:t>
            </w:r>
            <w:r>
              <w:rPr>
                <w:rFonts w:ascii="宋体" w:hAnsi="宋体" w:eastAsia="宋体" w:cs="Times New Roman"/>
                <w:kern w:val="0"/>
                <w:sz w:val="24"/>
                <w14:ligatures w14:val="none"/>
              </w:rPr>
              <w:t>时间进行评分：</w:t>
            </w:r>
          </w:p>
          <w:p w14:paraId="5EAA39F5">
            <w:pPr>
              <w:autoSpaceDE w:val="0"/>
              <w:autoSpaceDN w:val="0"/>
              <w:adjustRightInd w:val="0"/>
              <w:snapToGrid w:val="0"/>
              <w:spacing w:after="0" w:line="336" w:lineRule="auto"/>
              <w:jc w:val="both"/>
              <w:rPr>
                <w:rFonts w:hint="eastAsia" w:ascii="宋体" w:hAnsi="宋体" w:eastAsia="宋体" w:cs="Times New Roman"/>
                <w:kern w:val="0"/>
                <w:sz w:val="24"/>
                <w14:ligatures w14:val="none"/>
              </w:rPr>
            </w:pPr>
            <w:r>
              <w:rPr>
                <w:rFonts w:ascii="宋体" w:hAnsi="宋体" w:eastAsia="宋体" w:cs="Times New Roman"/>
                <w:kern w:val="0"/>
                <w:sz w:val="24"/>
                <w14:ligatures w14:val="none"/>
              </w:rPr>
              <w:t>（1）</w:t>
            </w:r>
            <w:r>
              <w:rPr>
                <w:rFonts w:hint="eastAsia" w:ascii="宋体" w:hAnsi="宋体" w:eastAsia="宋体" w:cs="Times New Roman"/>
                <w:kern w:val="0"/>
                <w:sz w:val="24"/>
                <w14:ligatures w14:val="none"/>
              </w:rPr>
              <w:t>到货周期</w:t>
            </w:r>
            <w:r>
              <w:rPr>
                <w:rFonts w:ascii="宋体" w:hAnsi="宋体" w:eastAsia="宋体" w:cs="Times New Roman"/>
                <w:kern w:val="0"/>
                <w:sz w:val="24"/>
                <w14:ligatures w14:val="none"/>
              </w:rPr>
              <w:t>时间在5天（自然日）内的得</w:t>
            </w:r>
            <w:r>
              <w:rPr>
                <w:rFonts w:hint="eastAsia" w:ascii="宋体" w:hAnsi="宋体" w:eastAsia="宋体" w:cs="Times New Roman"/>
                <w:kern w:val="0"/>
                <w:sz w:val="24"/>
                <w14:ligatures w14:val="none"/>
              </w:rPr>
              <w:t>3</w:t>
            </w:r>
            <w:r>
              <w:rPr>
                <w:rFonts w:ascii="宋体" w:hAnsi="宋体" w:eastAsia="宋体" w:cs="Times New Roman"/>
                <w:kern w:val="0"/>
                <w:sz w:val="24"/>
                <w14:ligatures w14:val="none"/>
              </w:rPr>
              <w:t>分；</w:t>
            </w:r>
          </w:p>
          <w:p w14:paraId="437E5308">
            <w:pPr>
              <w:autoSpaceDE w:val="0"/>
              <w:autoSpaceDN w:val="0"/>
              <w:adjustRightInd w:val="0"/>
              <w:snapToGrid w:val="0"/>
              <w:spacing w:after="0" w:line="336" w:lineRule="auto"/>
              <w:jc w:val="both"/>
              <w:rPr>
                <w:rFonts w:hint="eastAsia" w:ascii="宋体" w:hAnsi="宋体" w:eastAsia="宋体" w:cs="Times New Roman"/>
                <w:kern w:val="0"/>
                <w:sz w:val="24"/>
                <w14:ligatures w14:val="none"/>
              </w:rPr>
            </w:pPr>
            <w:r>
              <w:rPr>
                <w:rFonts w:ascii="宋体" w:hAnsi="宋体" w:eastAsia="宋体" w:cs="Times New Roman"/>
                <w:kern w:val="0"/>
                <w:sz w:val="24"/>
                <w14:ligatures w14:val="none"/>
              </w:rPr>
              <w:t>（2）</w:t>
            </w:r>
            <w:r>
              <w:rPr>
                <w:rFonts w:hint="eastAsia" w:ascii="宋体" w:hAnsi="宋体" w:eastAsia="宋体" w:cs="Times New Roman"/>
                <w:kern w:val="0"/>
                <w:sz w:val="24"/>
                <w14:ligatures w14:val="none"/>
              </w:rPr>
              <w:t>到货周期</w:t>
            </w:r>
            <w:r>
              <w:rPr>
                <w:rFonts w:ascii="宋体" w:hAnsi="宋体" w:eastAsia="宋体" w:cs="Times New Roman"/>
                <w:kern w:val="0"/>
                <w:sz w:val="24"/>
                <w14:ligatures w14:val="none"/>
              </w:rPr>
              <w:t>时间在7天（自然日）内的得</w:t>
            </w:r>
            <w:r>
              <w:rPr>
                <w:rFonts w:hint="eastAsia" w:ascii="宋体" w:hAnsi="宋体" w:eastAsia="宋体" w:cs="Times New Roman"/>
                <w:kern w:val="0"/>
                <w:sz w:val="24"/>
                <w14:ligatures w14:val="none"/>
              </w:rPr>
              <w:t>2</w:t>
            </w:r>
            <w:r>
              <w:rPr>
                <w:rFonts w:ascii="宋体" w:hAnsi="宋体" w:eastAsia="宋体" w:cs="Times New Roman"/>
                <w:kern w:val="0"/>
                <w:sz w:val="24"/>
                <w14:ligatures w14:val="none"/>
              </w:rPr>
              <w:t>分；</w:t>
            </w:r>
          </w:p>
          <w:p w14:paraId="60442A61">
            <w:pPr>
              <w:autoSpaceDE w:val="0"/>
              <w:autoSpaceDN w:val="0"/>
              <w:adjustRightInd w:val="0"/>
              <w:snapToGrid w:val="0"/>
              <w:spacing w:after="0" w:line="336" w:lineRule="auto"/>
              <w:jc w:val="both"/>
              <w:rPr>
                <w:rFonts w:hint="eastAsia" w:ascii="宋体" w:hAnsi="宋体" w:eastAsia="宋体" w:cs="Times New Roman"/>
                <w:kern w:val="0"/>
                <w:sz w:val="24"/>
                <w14:ligatures w14:val="none"/>
              </w:rPr>
            </w:pPr>
            <w:r>
              <w:rPr>
                <w:rFonts w:ascii="宋体" w:hAnsi="宋体" w:eastAsia="宋体" w:cs="Times New Roman"/>
                <w:kern w:val="0"/>
                <w:sz w:val="24"/>
                <w14:ligatures w14:val="none"/>
              </w:rPr>
              <w:t>（3）</w:t>
            </w:r>
            <w:r>
              <w:rPr>
                <w:rFonts w:hint="eastAsia" w:ascii="宋体" w:hAnsi="宋体" w:eastAsia="宋体" w:cs="Times New Roman"/>
                <w:kern w:val="0"/>
                <w:sz w:val="24"/>
                <w14:ligatures w14:val="none"/>
              </w:rPr>
              <w:t>到货周期</w:t>
            </w:r>
            <w:r>
              <w:rPr>
                <w:rFonts w:ascii="宋体" w:hAnsi="宋体" w:eastAsia="宋体" w:cs="Times New Roman"/>
                <w:kern w:val="0"/>
                <w:sz w:val="24"/>
                <w14:ligatures w14:val="none"/>
              </w:rPr>
              <w:t>时间在10天（自然日）内的得1分；</w:t>
            </w:r>
          </w:p>
          <w:p w14:paraId="2F0839B2">
            <w:pPr>
              <w:autoSpaceDE w:val="0"/>
              <w:autoSpaceDN w:val="0"/>
              <w:adjustRightInd w:val="0"/>
              <w:snapToGrid w:val="0"/>
              <w:spacing w:after="0" w:line="336" w:lineRule="auto"/>
              <w:jc w:val="both"/>
              <w:rPr>
                <w:rFonts w:hint="eastAsia" w:ascii="宋体" w:hAnsi="宋体" w:eastAsia="宋体" w:cs="Times New Roman"/>
                <w:kern w:val="0"/>
                <w:sz w:val="24"/>
                <w14:ligatures w14:val="none"/>
              </w:rPr>
            </w:pPr>
            <w:r>
              <w:rPr>
                <w:rFonts w:ascii="宋体" w:hAnsi="宋体" w:eastAsia="宋体" w:cs="Times New Roman"/>
                <w:kern w:val="0"/>
                <w:sz w:val="24"/>
                <w14:ligatures w14:val="none"/>
              </w:rPr>
              <w:t>（4）</w:t>
            </w:r>
            <w:r>
              <w:rPr>
                <w:rFonts w:hint="eastAsia" w:ascii="宋体" w:hAnsi="宋体" w:eastAsia="宋体" w:cs="Times New Roman"/>
                <w:kern w:val="0"/>
                <w:sz w:val="24"/>
                <w14:ligatures w14:val="none"/>
              </w:rPr>
              <w:t>到货周期</w:t>
            </w:r>
            <w:r>
              <w:rPr>
                <w:rFonts w:ascii="宋体" w:hAnsi="宋体" w:eastAsia="宋体" w:cs="Times New Roman"/>
                <w:kern w:val="0"/>
                <w:sz w:val="24"/>
                <w14:ligatures w14:val="none"/>
              </w:rPr>
              <w:t>时间超过10天（自然日）的得0分。</w:t>
            </w:r>
          </w:p>
        </w:tc>
      </w:tr>
      <w:tr w14:paraId="58FE0719">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851"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op w:w="60" w:type="dxa"/>
              <w:left w:w="120" w:type="dxa"/>
              <w:bottom w:w="30" w:type="dxa"/>
              <w:right w:w="120" w:type="dxa"/>
            </w:tcMar>
          </w:tcPr>
          <w:p w14:paraId="1B883A1F">
            <w:pPr>
              <w:spacing w:before="120" w:after="120" w:line="360" w:lineRule="auto"/>
              <w:jc w:val="center"/>
              <w:rPr>
                <w:rFonts w:hint="eastAsia" w:ascii="宋体" w:hAnsi="宋体" w:eastAsia="宋体" w:cs="Arial"/>
                <w:sz w:val="24"/>
              </w:rPr>
            </w:pPr>
            <w:r>
              <w:rPr>
                <w:rFonts w:hint="eastAsia" w:ascii="宋体" w:hAnsi="宋体" w:eastAsia="宋体" w:cs="Arial"/>
                <w:sz w:val="24"/>
              </w:rPr>
              <w:t>8</w:t>
            </w:r>
          </w:p>
        </w:tc>
        <w:tc>
          <w:tcPr>
            <w:tcW w:w="1417"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op w:w="60" w:type="dxa"/>
              <w:left w:w="120" w:type="dxa"/>
              <w:bottom w:w="30" w:type="dxa"/>
              <w:right w:w="120" w:type="dxa"/>
            </w:tcMar>
          </w:tcPr>
          <w:p w14:paraId="542A75C0">
            <w:pPr>
              <w:spacing w:before="120" w:after="120" w:line="360" w:lineRule="auto"/>
              <w:jc w:val="center"/>
              <w:rPr>
                <w:rFonts w:hint="eastAsia" w:ascii="宋体" w:hAnsi="宋体" w:eastAsia="宋体" w:cs="Arial"/>
                <w:sz w:val="24"/>
              </w:rPr>
            </w:pPr>
            <w:r>
              <w:rPr>
                <w:rFonts w:ascii="宋体" w:hAnsi="宋体" w:eastAsia="宋体" w:cs="Arial"/>
                <w:sz w:val="24"/>
              </w:rPr>
              <w:t>增值服务</w:t>
            </w:r>
          </w:p>
        </w:tc>
        <w:tc>
          <w:tcPr>
            <w:tcW w:w="993"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op w:w="60" w:type="dxa"/>
              <w:left w:w="120" w:type="dxa"/>
              <w:bottom w:w="30" w:type="dxa"/>
              <w:right w:w="120" w:type="dxa"/>
            </w:tcMar>
          </w:tcPr>
          <w:p w14:paraId="7BF43351">
            <w:pPr>
              <w:spacing w:before="120" w:after="120" w:line="360" w:lineRule="auto"/>
              <w:jc w:val="center"/>
              <w:rPr>
                <w:rFonts w:hint="eastAsia" w:ascii="宋体" w:hAnsi="宋体" w:eastAsia="宋体" w:cs="Arial"/>
                <w:sz w:val="24"/>
              </w:rPr>
            </w:pPr>
            <w:r>
              <w:rPr>
                <w:rFonts w:hint="eastAsia" w:ascii="宋体" w:hAnsi="宋体" w:eastAsia="宋体" w:cs="Arial"/>
                <w:sz w:val="24"/>
              </w:rPr>
              <w:t>2分</w:t>
            </w:r>
          </w:p>
        </w:tc>
        <w:tc>
          <w:tcPr>
            <w:tcW w:w="6092"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op w:w="60" w:type="dxa"/>
              <w:left w:w="120" w:type="dxa"/>
              <w:bottom w:w="30" w:type="dxa"/>
              <w:right w:w="120" w:type="dxa"/>
            </w:tcMar>
          </w:tcPr>
          <w:p w14:paraId="4C1FE38F">
            <w:pPr>
              <w:spacing w:before="120" w:after="120" w:line="360" w:lineRule="auto"/>
              <w:jc w:val="center"/>
              <w:rPr>
                <w:rFonts w:hint="eastAsia" w:ascii="宋体" w:hAnsi="宋体" w:eastAsia="宋体" w:cs="Arial"/>
                <w:sz w:val="24"/>
              </w:rPr>
            </w:pPr>
            <w:r>
              <w:rPr>
                <w:rFonts w:hint="eastAsia" w:ascii="宋体" w:hAnsi="宋体" w:eastAsia="宋体" w:cs="Arial"/>
                <w:sz w:val="24"/>
              </w:rPr>
              <w:t>供应商承诺免费提供与月饼产品配套使用的月饼模具，得2分；未提供承诺或承诺不满足要求的，得0分。</w:t>
            </w:r>
          </w:p>
          <w:p w14:paraId="6261B232">
            <w:pPr>
              <w:spacing w:before="120" w:after="120" w:line="360" w:lineRule="auto"/>
              <w:jc w:val="center"/>
              <w:rPr>
                <w:rFonts w:hint="eastAsia" w:ascii="宋体" w:hAnsi="宋体" w:eastAsia="宋体" w:cs="Arial"/>
                <w:sz w:val="24"/>
              </w:rPr>
            </w:pPr>
            <w:r>
              <w:rPr>
                <w:rFonts w:hint="eastAsia" w:ascii="宋体" w:hAnsi="宋体" w:eastAsia="宋体" w:cs="Arial"/>
                <w:sz w:val="24"/>
              </w:rPr>
              <w:t>备注：须提供书面承诺函</w:t>
            </w:r>
            <w:bookmarkStart w:id="20" w:name="OLE_LINK5"/>
            <w:r>
              <w:rPr>
                <w:rFonts w:hint="eastAsia" w:ascii="宋体" w:hAnsi="宋体" w:eastAsia="宋体" w:cs="Arial"/>
                <w:sz w:val="24"/>
              </w:rPr>
              <w:t>（详见附件6）</w:t>
            </w:r>
            <w:bookmarkEnd w:id="20"/>
            <w:r>
              <w:rPr>
                <w:rFonts w:hint="eastAsia" w:ascii="宋体" w:hAnsi="宋体" w:eastAsia="宋体" w:cs="Arial"/>
                <w:sz w:val="24"/>
              </w:rPr>
              <w:t>，并加盖供应商公章。未提供或内容不符合要求的，不予计分。</w:t>
            </w:r>
          </w:p>
        </w:tc>
      </w:tr>
      <w:tr w14:paraId="4DA473BA">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851"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op w:w="60" w:type="dxa"/>
              <w:left w:w="120" w:type="dxa"/>
              <w:bottom w:w="30" w:type="dxa"/>
              <w:right w:w="120" w:type="dxa"/>
            </w:tcMar>
          </w:tcPr>
          <w:p w14:paraId="2791FDBA">
            <w:pPr>
              <w:spacing w:before="120" w:after="120" w:line="360" w:lineRule="auto"/>
              <w:jc w:val="center"/>
              <w:rPr>
                <w:rFonts w:hint="eastAsia" w:ascii="宋体" w:hAnsi="宋体" w:eastAsia="宋体"/>
                <w:sz w:val="24"/>
              </w:rPr>
            </w:pPr>
            <w:r>
              <w:rPr>
                <w:rFonts w:hint="eastAsia" w:ascii="宋体" w:hAnsi="宋体" w:eastAsia="宋体" w:cs="Arial"/>
                <w:sz w:val="24"/>
              </w:rPr>
              <w:t>9</w:t>
            </w:r>
          </w:p>
        </w:tc>
        <w:tc>
          <w:tcPr>
            <w:tcW w:w="1417"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op w:w="60" w:type="dxa"/>
              <w:left w:w="120" w:type="dxa"/>
              <w:bottom w:w="30" w:type="dxa"/>
              <w:right w:w="120" w:type="dxa"/>
            </w:tcMar>
          </w:tcPr>
          <w:p w14:paraId="26BFA209">
            <w:pPr>
              <w:spacing w:before="120" w:after="120" w:line="360" w:lineRule="auto"/>
              <w:jc w:val="center"/>
              <w:rPr>
                <w:rFonts w:hint="eastAsia" w:ascii="宋体" w:hAnsi="宋体" w:eastAsia="宋体"/>
                <w:sz w:val="24"/>
              </w:rPr>
            </w:pPr>
            <w:r>
              <w:rPr>
                <w:rFonts w:ascii="宋体" w:hAnsi="宋体" w:eastAsia="宋体" w:cs="Arial"/>
                <w:sz w:val="24"/>
              </w:rPr>
              <w:t>投标样板</w:t>
            </w:r>
          </w:p>
        </w:tc>
        <w:tc>
          <w:tcPr>
            <w:tcW w:w="993"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op w:w="60" w:type="dxa"/>
              <w:left w:w="120" w:type="dxa"/>
              <w:bottom w:w="30" w:type="dxa"/>
              <w:right w:w="120" w:type="dxa"/>
            </w:tcMar>
          </w:tcPr>
          <w:p w14:paraId="20B80877">
            <w:pPr>
              <w:spacing w:before="120" w:after="120" w:line="360" w:lineRule="auto"/>
              <w:jc w:val="center"/>
              <w:rPr>
                <w:rFonts w:hint="eastAsia" w:ascii="宋体" w:hAnsi="宋体" w:eastAsia="宋体"/>
                <w:sz w:val="24"/>
              </w:rPr>
            </w:pPr>
            <w:r>
              <w:rPr>
                <w:rFonts w:hint="eastAsia" w:ascii="宋体" w:hAnsi="宋体" w:eastAsia="宋体" w:cs="Arial"/>
                <w:sz w:val="24"/>
              </w:rPr>
              <w:t>20</w:t>
            </w:r>
            <w:r>
              <w:rPr>
                <w:rFonts w:ascii="宋体" w:hAnsi="宋体" w:eastAsia="宋体" w:cs="Arial"/>
                <w:sz w:val="24"/>
              </w:rPr>
              <w:t>分</w:t>
            </w:r>
          </w:p>
        </w:tc>
        <w:tc>
          <w:tcPr>
            <w:tcW w:w="6092" w:type="dxa"/>
            <w:tcBorders>
              <w:top w:val="single" w:color="000000" w:themeColor="text1" w:sz="2" w:space="0"/>
              <w:left w:val="single" w:color="000000" w:themeColor="text1" w:sz="2" w:space="0"/>
              <w:bottom w:val="single" w:color="000000" w:themeColor="text1" w:sz="2" w:space="0"/>
              <w:right w:val="single" w:color="000000" w:themeColor="text1" w:sz="2" w:space="0"/>
            </w:tcBorders>
            <w:tcMar>
              <w:top w:w="60" w:type="dxa"/>
              <w:left w:w="120" w:type="dxa"/>
              <w:bottom w:w="30" w:type="dxa"/>
              <w:right w:w="120" w:type="dxa"/>
            </w:tcMar>
          </w:tcPr>
          <w:p w14:paraId="159BF094">
            <w:pPr>
              <w:spacing w:before="120" w:after="120" w:line="360" w:lineRule="auto"/>
              <w:jc w:val="center"/>
              <w:rPr>
                <w:rFonts w:hint="eastAsia" w:ascii="宋体" w:hAnsi="宋体" w:eastAsia="宋体" w:cs="Arial"/>
                <w:sz w:val="24"/>
              </w:rPr>
            </w:pPr>
            <w:r>
              <w:rPr>
                <w:rFonts w:hint="eastAsia" w:ascii="宋体" w:hAnsi="宋体" w:eastAsia="宋体" w:cs="Arial"/>
                <w:sz w:val="24"/>
              </w:rPr>
              <w:t>优秀（16–20 分）：样板齐全，符合采购要求，与需求高度一致；良好（11–15分）：样板齐全，基本符合采购要求，少量细节偏差；一般（6–10分）：样板不齐全 / 部分不符合采购要求；差（1–5分）：样板严重不符合要求；未提交样板的得0分。</w:t>
            </w:r>
          </w:p>
          <w:p w14:paraId="1A691DAF">
            <w:pPr>
              <w:spacing w:before="120" w:after="120" w:line="360" w:lineRule="auto"/>
              <w:rPr>
                <w:rFonts w:hint="eastAsia" w:ascii="宋体" w:hAnsi="宋体" w:eastAsia="宋体" w:cs="Arial"/>
                <w:sz w:val="24"/>
              </w:rPr>
            </w:pPr>
            <w:r>
              <w:rPr>
                <w:rFonts w:hint="eastAsia" w:ascii="宋体" w:hAnsi="宋体" w:eastAsia="宋体" w:cs="Arial"/>
                <w:sz w:val="24"/>
              </w:rPr>
              <w:t>采购要求：外观：饼皮颜色均匀，形状规则，纹络清晰，线条无断裂或花纹模糊。口感：饼皮松软，厚度均匀，皮馅比不高于2:8，含油量适中，馅料口感醇正、无颗粒。香气：馅料香味浓郁自然，无油脂哈喇味。</w:t>
            </w:r>
          </w:p>
        </w:tc>
      </w:tr>
    </w:tbl>
    <w:p w14:paraId="4653045D">
      <w:pPr>
        <w:pStyle w:val="12"/>
        <w:numPr>
          <w:ilvl w:val="0"/>
          <w:numId w:val="19"/>
        </w:numPr>
        <w:spacing w:before="320" w:after="120" w:line="360" w:lineRule="auto"/>
        <w:ind w:firstLine="57" w:firstLineChars="0"/>
        <w:outlineLvl w:val="1"/>
        <w:rPr>
          <w:rFonts w:hint="eastAsia" w:ascii="宋体" w:hAnsi="宋体" w:eastAsia="宋体" w:cs="Arial"/>
          <w:b/>
          <w:sz w:val="24"/>
        </w:rPr>
      </w:pPr>
      <w:bookmarkStart w:id="21" w:name="heading_25"/>
      <w:r>
        <w:rPr>
          <w:rFonts w:ascii="宋体" w:hAnsi="宋体" w:eastAsia="宋体" w:cs="Arial"/>
          <w:b/>
          <w:sz w:val="24"/>
        </w:rPr>
        <w:t>价格部分（</w:t>
      </w:r>
      <w:r>
        <w:rPr>
          <w:rFonts w:hint="eastAsia" w:ascii="宋体" w:hAnsi="宋体" w:eastAsia="宋体" w:cs="Arial"/>
          <w:b/>
          <w:sz w:val="24"/>
        </w:rPr>
        <w:t>40</w:t>
      </w:r>
      <w:r>
        <w:rPr>
          <w:rFonts w:ascii="宋体" w:hAnsi="宋体" w:eastAsia="宋体" w:cs="Arial"/>
          <w:b/>
          <w:sz w:val="24"/>
        </w:rPr>
        <w:t>分）</w:t>
      </w:r>
      <w:bookmarkEnd w:id="21"/>
    </w:p>
    <w:p w14:paraId="79DB3454">
      <w:pPr>
        <w:spacing w:before="120" w:after="120" w:line="360" w:lineRule="auto"/>
        <w:ind w:firstLine="480" w:firstLineChars="200"/>
        <w:rPr>
          <w:rFonts w:hint="eastAsia" w:ascii="宋体" w:hAnsi="宋体" w:eastAsia="宋体"/>
          <w:sz w:val="24"/>
        </w:rPr>
      </w:pPr>
      <w:r>
        <w:rPr>
          <w:rFonts w:ascii="宋体" w:hAnsi="宋体" w:eastAsia="宋体" w:cs="Arial"/>
          <w:sz w:val="24"/>
        </w:rPr>
        <w:t>价格部分采用</w:t>
      </w:r>
      <w:r>
        <w:rPr>
          <w:rFonts w:ascii="宋体" w:hAnsi="宋体" w:eastAsia="宋体" w:cs="Arial"/>
          <w:b/>
          <w:sz w:val="24"/>
        </w:rPr>
        <w:t>低价优先法</w:t>
      </w:r>
      <w:r>
        <w:rPr>
          <w:rFonts w:ascii="宋体" w:hAnsi="宋体" w:eastAsia="宋体" w:cs="Arial"/>
          <w:sz w:val="24"/>
        </w:rPr>
        <w:t>计算，步骤如下</w:t>
      </w:r>
      <w:r>
        <w:rPr>
          <w:rFonts w:ascii="宋体" w:hAnsi="宋体" w:eastAsia="宋体" w:cs="Arial"/>
          <w:color w:val="0D0D0D" w:themeColor="text1" w:themeTint="F2"/>
          <w:sz w:val="24"/>
          <w14:textFill>
            <w14:solidFill>
              <w14:schemeClr w14:val="tx1">
                <w14:lumMod w14:val="95000"/>
                <w14:lumOff w14:val="5000"/>
              </w14:schemeClr>
            </w14:solidFill>
          </w14:textFill>
        </w:rPr>
        <w:t>（适用于所有子包）</w:t>
      </w:r>
      <w:r>
        <w:rPr>
          <w:rFonts w:ascii="宋体" w:hAnsi="宋体" w:eastAsia="宋体" w:cs="Arial"/>
          <w:sz w:val="24"/>
        </w:rPr>
        <w:t>：</w:t>
      </w:r>
    </w:p>
    <w:p w14:paraId="697384D5">
      <w:pPr>
        <w:numPr>
          <w:ilvl w:val="0"/>
          <w:numId w:val="21"/>
        </w:numPr>
        <w:spacing w:before="120" w:after="120" w:line="360" w:lineRule="auto"/>
        <w:ind w:firstLine="480" w:firstLineChars="200"/>
        <w:rPr>
          <w:rFonts w:hint="eastAsia" w:ascii="宋体" w:hAnsi="宋体" w:eastAsia="宋体"/>
          <w:sz w:val="24"/>
        </w:rPr>
      </w:pPr>
      <w:r>
        <w:rPr>
          <w:rFonts w:ascii="宋体" w:hAnsi="宋体" w:eastAsia="宋体" w:cs="Arial"/>
          <w:sz w:val="24"/>
        </w:rPr>
        <w:t>报价审核</w:t>
      </w:r>
      <w:r>
        <w:rPr>
          <w:rFonts w:hint="eastAsia" w:ascii="宋体" w:hAnsi="宋体" w:eastAsia="宋体" w:cs="Arial"/>
          <w:sz w:val="24"/>
        </w:rPr>
        <w:t>:</w:t>
      </w:r>
      <w:r>
        <w:rPr>
          <w:rFonts w:hint="eastAsia"/>
        </w:rPr>
        <w:t xml:space="preserve"> </w:t>
      </w:r>
      <w:r>
        <w:rPr>
          <w:rFonts w:hint="eastAsia" w:ascii="宋体" w:hAnsi="宋体" w:eastAsia="宋体" w:cs="Arial"/>
          <w:sz w:val="24"/>
        </w:rPr>
        <w:t>供应商总报价超过对应最高限价的，视为</w:t>
      </w:r>
      <w:r>
        <w:rPr>
          <w:rFonts w:hint="eastAsia" w:ascii="宋体" w:hAnsi="宋体" w:eastAsia="宋体" w:cs="Arial"/>
          <w:b/>
          <w:bCs/>
          <w:sz w:val="24"/>
        </w:rPr>
        <w:t>无效报价</w:t>
      </w:r>
      <w:r>
        <w:rPr>
          <w:rFonts w:hint="eastAsia" w:ascii="宋体" w:hAnsi="宋体" w:eastAsia="宋体" w:cs="Arial"/>
          <w:sz w:val="24"/>
        </w:rPr>
        <w:t>，不参与评审</w:t>
      </w:r>
      <w:r>
        <w:rPr>
          <w:rFonts w:ascii="宋体" w:hAnsi="宋体" w:eastAsia="宋体" w:cs="Arial"/>
          <w:sz w:val="24"/>
        </w:rPr>
        <w:t>；</w:t>
      </w:r>
    </w:p>
    <w:p w14:paraId="0FBBC536">
      <w:pPr>
        <w:numPr>
          <w:ilvl w:val="0"/>
          <w:numId w:val="21"/>
        </w:numPr>
        <w:spacing w:before="120" w:after="120" w:line="360" w:lineRule="auto"/>
        <w:ind w:firstLine="480" w:firstLineChars="200"/>
        <w:rPr>
          <w:rFonts w:hint="eastAsia" w:ascii="宋体" w:hAnsi="宋体" w:eastAsia="宋体"/>
          <w:sz w:val="24"/>
        </w:rPr>
      </w:pPr>
      <w:r>
        <w:rPr>
          <w:rFonts w:ascii="宋体" w:hAnsi="宋体" w:eastAsia="宋体" w:cs="Arial"/>
          <w:sz w:val="24"/>
        </w:rPr>
        <w:t>确定评审基准价：满足遴选文件要求且</w:t>
      </w:r>
      <w:r>
        <w:rPr>
          <w:rFonts w:hint="eastAsia" w:ascii="宋体" w:hAnsi="宋体" w:eastAsia="宋体" w:cs="Arial"/>
          <w:b/>
          <w:sz w:val="24"/>
        </w:rPr>
        <w:t>总金额</w:t>
      </w:r>
      <w:r>
        <w:rPr>
          <w:rFonts w:ascii="宋体" w:hAnsi="宋体" w:eastAsia="宋体" w:cs="Arial"/>
          <w:b/>
          <w:sz w:val="24"/>
        </w:rPr>
        <w:t>最低</w:t>
      </w:r>
      <w:r>
        <w:rPr>
          <w:rFonts w:ascii="宋体" w:hAnsi="宋体" w:eastAsia="宋体" w:cs="Arial"/>
          <w:sz w:val="24"/>
        </w:rPr>
        <w:t>的响应报价为评审基准价；</w:t>
      </w:r>
    </w:p>
    <w:p w14:paraId="31895653">
      <w:pPr>
        <w:numPr>
          <w:ilvl w:val="0"/>
          <w:numId w:val="21"/>
        </w:numPr>
        <w:spacing w:before="120" w:after="120" w:line="360" w:lineRule="auto"/>
        <w:ind w:firstLine="480" w:firstLineChars="200"/>
        <w:rPr>
          <w:rFonts w:hint="eastAsia" w:ascii="宋体" w:hAnsi="宋体" w:eastAsia="宋体"/>
          <w:sz w:val="24"/>
        </w:rPr>
      </w:pPr>
      <w:r>
        <w:rPr>
          <w:rFonts w:ascii="宋体" w:hAnsi="宋体" w:eastAsia="宋体" w:cs="Arial"/>
          <w:sz w:val="24"/>
        </w:rPr>
        <w:t xml:space="preserve">计算报价得分：报价得分 = </w:t>
      </w:r>
      <w:r>
        <w:rPr>
          <w:rFonts w:hint="eastAsia" w:ascii="宋体" w:hAnsi="宋体" w:eastAsia="宋体" w:cs="Arial"/>
          <w:sz w:val="24"/>
        </w:rPr>
        <w:t>（评审基准价÷供应商报价）×40，结果保留 2 位小数</w:t>
      </w:r>
      <w:r>
        <w:rPr>
          <w:rFonts w:ascii="宋体" w:hAnsi="宋体" w:eastAsia="宋体" w:cs="Arial"/>
          <w:sz w:val="24"/>
        </w:rPr>
        <w:t>；</w:t>
      </w:r>
    </w:p>
    <w:p w14:paraId="7CC18058">
      <w:pPr>
        <w:numPr>
          <w:ilvl w:val="0"/>
          <w:numId w:val="21"/>
        </w:numPr>
        <w:spacing w:before="120" w:after="120" w:line="360" w:lineRule="auto"/>
        <w:ind w:firstLine="480" w:firstLineChars="200"/>
        <w:rPr>
          <w:rFonts w:hint="eastAsia" w:ascii="宋体" w:hAnsi="宋体" w:eastAsia="宋体"/>
          <w:sz w:val="24"/>
        </w:rPr>
      </w:pPr>
      <w:r>
        <w:rPr>
          <w:rFonts w:ascii="宋体" w:hAnsi="宋体" w:eastAsia="宋体" w:cs="Arial"/>
          <w:sz w:val="24"/>
        </w:rPr>
        <w:t>无效报价处理：</w:t>
      </w:r>
      <w:r>
        <w:rPr>
          <w:rFonts w:hint="eastAsia" w:ascii="宋体" w:hAnsi="宋体" w:eastAsia="宋体" w:cs="Arial"/>
          <w:sz w:val="24"/>
        </w:rPr>
        <w:t>任一</w:t>
      </w:r>
      <w:r>
        <w:rPr>
          <w:rFonts w:hint="eastAsia" w:ascii="宋体" w:hAnsi="宋体" w:eastAsia="宋体" w:cs="Arial"/>
          <w:b/>
          <w:bCs/>
          <w:sz w:val="24"/>
        </w:rPr>
        <w:t>单品未报或总报价超限价</w:t>
      </w:r>
      <w:r>
        <w:rPr>
          <w:rFonts w:hint="eastAsia" w:ascii="宋体" w:hAnsi="宋体" w:eastAsia="宋体" w:cs="Arial"/>
          <w:sz w:val="24"/>
        </w:rPr>
        <w:t>，均按无效响应处理</w:t>
      </w:r>
      <w:r>
        <w:rPr>
          <w:rFonts w:ascii="宋体" w:hAnsi="宋体" w:eastAsia="宋体" w:cs="Arial"/>
          <w:sz w:val="24"/>
        </w:rPr>
        <w:t>，且该供应商</w:t>
      </w:r>
      <w:r>
        <w:rPr>
          <w:rFonts w:ascii="宋体" w:hAnsi="宋体" w:eastAsia="宋体" w:cs="Arial"/>
          <w:b/>
          <w:sz w:val="24"/>
        </w:rPr>
        <w:t>不得列为中选单位</w:t>
      </w:r>
      <w:r>
        <w:rPr>
          <w:rFonts w:ascii="宋体" w:hAnsi="宋体" w:eastAsia="宋体" w:cs="Arial"/>
          <w:sz w:val="24"/>
        </w:rPr>
        <w:t>。</w:t>
      </w:r>
    </w:p>
    <w:p w14:paraId="2665BA23">
      <w:pPr>
        <w:pStyle w:val="12"/>
        <w:numPr>
          <w:ilvl w:val="0"/>
          <w:numId w:val="19"/>
        </w:numPr>
        <w:spacing w:before="320" w:after="120" w:line="360" w:lineRule="auto"/>
        <w:ind w:firstLine="57" w:firstLineChars="0"/>
        <w:outlineLvl w:val="1"/>
        <w:rPr>
          <w:rFonts w:hint="eastAsia" w:ascii="宋体" w:hAnsi="宋体" w:eastAsia="宋体" w:cs="Arial"/>
          <w:b/>
          <w:sz w:val="24"/>
        </w:rPr>
      </w:pPr>
      <w:bookmarkStart w:id="22" w:name="heading_26"/>
      <w:r>
        <w:rPr>
          <w:rFonts w:ascii="宋体" w:hAnsi="宋体" w:eastAsia="宋体" w:cs="Arial"/>
          <w:b/>
          <w:sz w:val="24"/>
        </w:rPr>
        <w:t>评审流程</w:t>
      </w:r>
      <w:bookmarkEnd w:id="22"/>
    </w:p>
    <w:p w14:paraId="27A2A875">
      <w:pPr>
        <w:numPr>
          <w:ilvl w:val="0"/>
          <w:numId w:val="22"/>
        </w:numPr>
        <w:spacing w:before="120" w:after="120" w:line="360" w:lineRule="auto"/>
        <w:ind w:firstLine="482" w:firstLineChars="200"/>
        <w:rPr>
          <w:rFonts w:hint="eastAsia" w:ascii="宋体" w:hAnsi="宋体" w:eastAsia="宋体"/>
          <w:sz w:val="24"/>
        </w:rPr>
      </w:pPr>
      <w:r>
        <w:rPr>
          <w:rFonts w:ascii="宋体" w:hAnsi="宋体" w:eastAsia="宋体" w:cs="Arial"/>
          <w:b/>
          <w:sz w:val="24"/>
        </w:rPr>
        <w:t>资格审查</w:t>
      </w:r>
      <w:r>
        <w:rPr>
          <w:rFonts w:ascii="宋体" w:hAnsi="宋体" w:eastAsia="宋体" w:cs="Arial"/>
          <w:sz w:val="24"/>
        </w:rPr>
        <w:t>：评审小组审核资质文件，未通过的响应文件视为无效，不参与后续评审；</w:t>
      </w:r>
    </w:p>
    <w:p w14:paraId="26255EE1">
      <w:pPr>
        <w:numPr>
          <w:ilvl w:val="0"/>
          <w:numId w:val="22"/>
        </w:numPr>
        <w:spacing w:before="120" w:after="120" w:line="360" w:lineRule="auto"/>
        <w:ind w:firstLine="482" w:firstLineChars="200"/>
        <w:rPr>
          <w:rFonts w:hint="eastAsia" w:ascii="宋体" w:hAnsi="宋体" w:eastAsia="宋体"/>
          <w:sz w:val="24"/>
        </w:rPr>
      </w:pPr>
      <w:r>
        <w:rPr>
          <w:rFonts w:ascii="宋体" w:hAnsi="宋体" w:eastAsia="宋体" w:cs="Arial"/>
          <w:b/>
          <w:sz w:val="24"/>
        </w:rPr>
        <w:t>商务技术评审</w:t>
      </w:r>
      <w:r>
        <w:rPr>
          <w:rFonts w:ascii="宋体" w:hAnsi="宋体" w:eastAsia="宋体" w:cs="Arial"/>
          <w:sz w:val="24"/>
        </w:rPr>
        <w:t>：对通过资格审查的供应商进行商务技术评分，计算商务技术部分得分；</w:t>
      </w:r>
    </w:p>
    <w:p w14:paraId="02B5B76E">
      <w:pPr>
        <w:numPr>
          <w:ilvl w:val="0"/>
          <w:numId w:val="22"/>
        </w:numPr>
        <w:spacing w:before="120" w:after="120" w:line="360" w:lineRule="auto"/>
        <w:ind w:firstLine="482" w:firstLineChars="200"/>
        <w:rPr>
          <w:rFonts w:hint="eastAsia" w:ascii="宋体" w:hAnsi="宋体" w:eastAsia="宋体"/>
          <w:sz w:val="24"/>
        </w:rPr>
      </w:pPr>
      <w:r>
        <w:rPr>
          <w:rFonts w:ascii="宋体" w:hAnsi="宋体" w:eastAsia="宋体" w:cs="Arial"/>
          <w:b/>
          <w:sz w:val="24"/>
        </w:rPr>
        <w:t>价格评审</w:t>
      </w:r>
      <w:r>
        <w:rPr>
          <w:rFonts w:ascii="宋体" w:hAnsi="宋体" w:eastAsia="宋体" w:cs="Arial"/>
          <w:sz w:val="24"/>
        </w:rPr>
        <w:t>：审核价格文件，按上述方法计算价格部分得分；</w:t>
      </w:r>
    </w:p>
    <w:p w14:paraId="104ABAB3">
      <w:pPr>
        <w:numPr>
          <w:ilvl w:val="0"/>
          <w:numId w:val="22"/>
        </w:numPr>
        <w:spacing w:before="120" w:after="120" w:line="360" w:lineRule="auto"/>
        <w:ind w:firstLine="482" w:firstLineChars="200"/>
        <w:rPr>
          <w:rFonts w:hint="eastAsia" w:ascii="宋体" w:hAnsi="宋体" w:eastAsia="宋体"/>
          <w:sz w:val="24"/>
        </w:rPr>
      </w:pPr>
      <w:r>
        <w:rPr>
          <w:rFonts w:ascii="宋体" w:hAnsi="宋体" w:eastAsia="宋体" w:cs="Arial"/>
          <w:b/>
          <w:sz w:val="24"/>
        </w:rPr>
        <w:t>综合得分计算</w:t>
      </w:r>
      <w:r>
        <w:rPr>
          <w:rFonts w:ascii="宋体" w:hAnsi="宋体" w:eastAsia="宋体" w:cs="Arial"/>
          <w:sz w:val="24"/>
        </w:rPr>
        <w:t>：综合得分 = 商务技术部分得分 + 价格部分得分；</w:t>
      </w:r>
    </w:p>
    <w:p w14:paraId="1DE9204D">
      <w:pPr>
        <w:numPr>
          <w:ilvl w:val="0"/>
          <w:numId w:val="22"/>
        </w:numPr>
        <w:spacing w:before="120" w:after="120" w:line="360" w:lineRule="auto"/>
        <w:ind w:firstLine="482" w:firstLineChars="200"/>
        <w:rPr>
          <w:rFonts w:hint="eastAsia" w:ascii="宋体" w:hAnsi="宋体" w:eastAsia="宋体"/>
          <w:sz w:val="24"/>
        </w:rPr>
      </w:pPr>
      <w:r>
        <w:rPr>
          <w:rFonts w:ascii="宋体" w:hAnsi="宋体" w:eastAsia="宋体" w:cs="Arial"/>
          <w:b/>
          <w:sz w:val="24"/>
        </w:rPr>
        <w:t>确定入围单位</w:t>
      </w:r>
      <w:r>
        <w:rPr>
          <w:rFonts w:ascii="宋体" w:hAnsi="宋体" w:eastAsia="宋体" w:cs="Arial"/>
          <w:sz w:val="24"/>
        </w:rPr>
        <w:t>：按综合得分从高到低排序，确定</w:t>
      </w:r>
      <w:r>
        <w:rPr>
          <w:rFonts w:hint="eastAsia" w:ascii="宋体" w:hAnsi="宋体" w:eastAsia="宋体" w:cs="Arial"/>
          <w:sz w:val="24"/>
        </w:rPr>
        <w:t>各子包</w:t>
      </w:r>
      <w:r>
        <w:rPr>
          <w:rFonts w:ascii="宋体" w:hAnsi="宋体" w:eastAsia="宋体" w:cs="Arial"/>
          <w:sz w:val="24"/>
        </w:rPr>
        <w:t>中选单位、备选单位，出具评审报告。</w:t>
      </w:r>
      <w:r>
        <w:rPr>
          <w:rFonts w:hint="eastAsia" w:ascii="宋体" w:hAnsi="宋体" w:eastAsia="宋体" w:cs="Arial"/>
          <w:sz w:val="24"/>
        </w:rPr>
        <w:t>综合得分相同的，价格分高者排名靠前。</w:t>
      </w:r>
    </w:p>
    <w:p w14:paraId="1388E817">
      <w:pPr>
        <w:numPr>
          <w:ilvl w:val="0"/>
          <w:numId w:val="22"/>
        </w:numPr>
        <w:spacing w:before="120" w:after="120" w:line="360" w:lineRule="auto"/>
        <w:ind w:firstLine="480" w:firstLineChars="200"/>
        <w:rPr>
          <w:rFonts w:hint="eastAsia" w:ascii="宋体" w:hAnsi="宋体" w:eastAsia="宋体" w:cs="Arial"/>
          <w:bCs/>
          <w:sz w:val="24"/>
        </w:rPr>
      </w:pPr>
      <w:r>
        <w:rPr>
          <w:rFonts w:hint="eastAsia" w:ascii="宋体" w:hAnsi="宋体" w:eastAsia="宋体" w:cs="Arial"/>
          <w:bCs/>
          <w:sz w:val="24"/>
        </w:rPr>
        <w:t>在遴选结果确定后，如第一中选候选人出现以下情况，采购方可以根据综合得分中选顺序，更换中选候选人，由第二中选候选人中选：</w:t>
      </w:r>
    </w:p>
    <w:p w14:paraId="063C8417">
      <w:pPr>
        <w:pStyle w:val="12"/>
        <w:numPr>
          <w:ilvl w:val="0"/>
          <w:numId w:val="23"/>
        </w:numPr>
        <w:spacing w:before="120" w:after="120" w:line="360" w:lineRule="auto"/>
        <w:ind w:left="0" w:firstLine="480"/>
        <w:rPr>
          <w:rFonts w:hint="eastAsia" w:ascii="宋体" w:hAnsi="宋体" w:eastAsia="宋体" w:cs="Arial"/>
          <w:bCs/>
          <w:sz w:val="24"/>
        </w:rPr>
      </w:pPr>
      <w:r>
        <w:rPr>
          <w:rFonts w:hint="eastAsia" w:ascii="宋体" w:hAnsi="宋体" w:eastAsia="宋体" w:cs="Arial"/>
          <w:bCs/>
          <w:sz w:val="24"/>
        </w:rPr>
        <w:t>中选候选人弃选、因不可抗力不能履行合同、不按照合同要求提交履约保证金的；</w:t>
      </w:r>
    </w:p>
    <w:p w14:paraId="5AA40FA4">
      <w:pPr>
        <w:pStyle w:val="12"/>
        <w:numPr>
          <w:ilvl w:val="0"/>
          <w:numId w:val="23"/>
        </w:numPr>
        <w:spacing w:before="120" w:after="120" w:line="360" w:lineRule="auto"/>
        <w:ind w:left="0" w:firstLine="480"/>
        <w:rPr>
          <w:rFonts w:hint="eastAsia" w:ascii="宋体" w:hAnsi="宋体" w:eastAsia="宋体" w:cs="Arial"/>
          <w:bCs/>
          <w:sz w:val="24"/>
        </w:rPr>
      </w:pPr>
      <w:r>
        <w:rPr>
          <w:rFonts w:hint="eastAsia" w:ascii="宋体" w:hAnsi="宋体" w:eastAsia="宋体" w:cs="Arial"/>
          <w:bCs/>
          <w:sz w:val="24"/>
        </w:rPr>
        <w:t>采购方查实中选候选人存在弄虚作假、影响中选结果的违法违规行为，不符合中选条件的；</w:t>
      </w:r>
    </w:p>
    <w:p w14:paraId="62F8E3A3">
      <w:pPr>
        <w:pStyle w:val="12"/>
        <w:numPr>
          <w:ilvl w:val="0"/>
          <w:numId w:val="23"/>
        </w:numPr>
        <w:spacing w:before="120" w:after="120" w:line="360" w:lineRule="auto"/>
        <w:ind w:left="0" w:firstLine="480"/>
        <w:rPr>
          <w:rFonts w:hint="eastAsia" w:ascii="宋体" w:hAnsi="宋体" w:eastAsia="宋体" w:cs="Arial"/>
          <w:bCs/>
          <w:sz w:val="24"/>
        </w:rPr>
      </w:pPr>
      <w:r>
        <w:rPr>
          <w:rFonts w:hint="eastAsia" w:ascii="宋体" w:hAnsi="宋体" w:eastAsia="宋体" w:cs="Arial"/>
          <w:bCs/>
          <w:sz w:val="24"/>
        </w:rPr>
        <w:t>中选候选人履行合同过程中发生供货异常，根据合同附件“供应商供货异常处理方式”被取消供货资格的。</w:t>
      </w:r>
    </w:p>
    <w:p w14:paraId="0141D4FC">
      <w:pPr>
        <w:spacing w:before="120" w:after="120" w:line="360" w:lineRule="auto"/>
        <w:ind w:firstLine="480" w:firstLineChars="200"/>
        <w:rPr>
          <w:rFonts w:hint="eastAsia" w:ascii="宋体" w:hAnsi="宋体" w:eastAsia="宋体"/>
          <w:sz w:val="24"/>
        </w:rPr>
      </w:pPr>
    </w:p>
    <w:p w14:paraId="5594892F">
      <w:pPr>
        <w:widowControl/>
        <w:ind w:firstLine="482" w:firstLineChars="200"/>
        <w:rPr>
          <w:rFonts w:hint="eastAsia" w:ascii="宋体" w:hAnsi="宋体" w:eastAsia="宋体" w:cs="Arial"/>
          <w:b/>
          <w:sz w:val="24"/>
        </w:rPr>
      </w:pPr>
      <w:bookmarkStart w:id="23" w:name="heading_27"/>
      <w:r>
        <w:rPr>
          <w:rFonts w:hint="eastAsia" w:ascii="宋体" w:hAnsi="宋体" w:eastAsia="宋体" w:cs="Arial"/>
          <w:b/>
          <w:sz w:val="24"/>
        </w:rPr>
        <w:br w:type="page"/>
      </w:r>
    </w:p>
    <w:p w14:paraId="3E5FAE69">
      <w:pPr>
        <w:spacing w:before="380" w:after="140" w:line="360" w:lineRule="auto"/>
        <w:ind w:firstLine="482" w:firstLineChars="200"/>
        <w:jc w:val="center"/>
        <w:outlineLvl w:val="0"/>
        <w:rPr>
          <w:rFonts w:hint="eastAsia" w:ascii="宋体" w:hAnsi="宋体" w:eastAsia="宋体"/>
          <w:sz w:val="24"/>
        </w:rPr>
      </w:pPr>
      <w:r>
        <w:rPr>
          <w:rFonts w:ascii="宋体" w:hAnsi="宋体" w:eastAsia="宋体" w:cs="Arial"/>
          <w:b/>
          <w:sz w:val="24"/>
        </w:rPr>
        <w:t>第五部分 合同主要条款</w:t>
      </w:r>
      <w:bookmarkEnd w:id="23"/>
    </w:p>
    <w:p w14:paraId="74357ECA">
      <w:pPr>
        <w:widowControl/>
        <w:spacing w:after="312" w:afterLines="100" w:line="400" w:lineRule="exact"/>
        <w:ind w:firstLine="482" w:firstLineChars="200"/>
        <w:rPr>
          <w:rFonts w:hint="eastAsia" w:ascii="宋体" w:hAnsi="宋体" w:eastAsia="宋体" w:cs="宋体"/>
          <w:b/>
          <w:kern w:val="0"/>
          <w:sz w:val="24"/>
        </w:rPr>
      </w:pPr>
      <w:r>
        <w:rPr>
          <w:rFonts w:ascii="宋体" w:hAnsi="宋体" w:eastAsia="宋体" w:cs="宋体"/>
          <w:b/>
          <w:kern w:val="0"/>
          <w:sz w:val="24"/>
        </w:rPr>
        <w:t>合同由采购方（广州中大餐饮管理有限公司、广州中大康乐园餐饮有限公司）分别与中选单位签订，以下所列内容为核心合同条款，采购方可根据项目实际情况予以调整。</w:t>
      </w:r>
    </w:p>
    <w:p w14:paraId="4427BAB1">
      <w:pPr>
        <w:widowControl/>
        <w:spacing w:after="312" w:afterLines="100" w:line="400" w:lineRule="exact"/>
        <w:jc w:val="center"/>
        <w:rPr>
          <w:rFonts w:hint="eastAsia" w:ascii="宋体" w:hAnsi="宋体" w:eastAsia="宋体" w:cs="宋体"/>
          <w:b/>
          <w:kern w:val="0"/>
          <w:sz w:val="24"/>
        </w:rPr>
      </w:pPr>
      <w:r>
        <w:rPr>
          <w:rFonts w:ascii="宋体" w:hAnsi="宋体" w:eastAsia="宋体" w:cs="宋体"/>
          <w:b/>
          <w:kern w:val="0"/>
          <w:sz w:val="24"/>
        </w:rPr>
        <w:t>2026年中秋月饼采购项目单项合同</w:t>
      </w:r>
    </w:p>
    <w:p w14:paraId="77B2CB62">
      <w:pPr>
        <w:widowControl/>
        <w:spacing w:after="312" w:afterLines="100" w:line="400" w:lineRule="exact"/>
        <w:rPr>
          <w:rFonts w:hint="eastAsia" w:ascii="宋体" w:hAnsi="宋体" w:eastAsia="宋体" w:cs="宋体"/>
          <w:b/>
          <w:kern w:val="0"/>
          <w:sz w:val="24"/>
        </w:rPr>
      </w:pPr>
      <w:r>
        <w:rPr>
          <w:rFonts w:hint="eastAsia" w:ascii="宋体" w:hAnsi="宋体" w:eastAsia="宋体" w:cs="宋体"/>
          <w:b/>
          <w:kern w:val="0"/>
          <w:sz w:val="24"/>
        </w:rPr>
        <w:t>甲方：【                          】</w:t>
      </w:r>
    </w:p>
    <w:p w14:paraId="21315541">
      <w:pPr>
        <w:widowControl/>
        <w:spacing w:after="312" w:afterLines="100" w:line="400" w:lineRule="exact"/>
        <w:rPr>
          <w:rFonts w:hint="eastAsia" w:ascii="宋体" w:hAnsi="宋体" w:eastAsia="宋体" w:cs="宋体"/>
          <w:b/>
          <w:kern w:val="0"/>
          <w:sz w:val="24"/>
        </w:rPr>
      </w:pPr>
      <w:r>
        <w:rPr>
          <w:rFonts w:hint="eastAsia" w:ascii="宋体" w:hAnsi="宋体" w:eastAsia="宋体" w:cs="宋体"/>
          <w:b/>
          <w:kern w:val="0"/>
          <w:sz w:val="24"/>
        </w:rPr>
        <w:t>乙方：【                          】</w:t>
      </w:r>
    </w:p>
    <w:p w14:paraId="7CA072C1">
      <w:pPr>
        <w:widowControl/>
        <w:spacing w:before="156" w:beforeLines="50" w:after="156" w:afterLines="50" w:line="400" w:lineRule="exact"/>
        <w:ind w:firstLine="420" w:firstLineChars="175"/>
        <w:rPr>
          <w:rFonts w:hint="eastAsia" w:ascii="宋体" w:hAnsi="宋体" w:eastAsia="宋体" w:cs="宋体"/>
          <w:kern w:val="0"/>
          <w:sz w:val="24"/>
        </w:rPr>
      </w:pPr>
      <w:r>
        <w:rPr>
          <w:rFonts w:hint="eastAsia" w:ascii="宋体" w:hAnsi="宋体" w:eastAsia="宋体" w:cs="宋体"/>
          <w:kern w:val="0"/>
          <w:sz w:val="24"/>
        </w:rPr>
        <w:t>甲、乙双方经友好协商，根据《中华人民共和国民法典》、《中华人民共和国产品质量法》、《中华人民共和国食品安全法》及其它有关法律、法规的规定，本着平等自愿、互利有偿、诚实信用的原则，就甲方向乙方采购，乙方向甲方供应本合同约定的商品（下称“商品”或者“月饼”）的相关事宜，签订本合同，以兹共同遵守。</w:t>
      </w:r>
    </w:p>
    <w:p w14:paraId="325F55A4">
      <w:pPr>
        <w:keepNext/>
        <w:keepLines/>
        <w:spacing w:before="156" w:beforeLines="50" w:after="156" w:afterLines="50" w:line="400" w:lineRule="exact"/>
        <w:ind w:left="-7" w:leftChars="-67" w:hanging="140" w:hangingChars="58"/>
        <w:outlineLvl w:val="1"/>
        <w:rPr>
          <w:rFonts w:hint="eastAsia" w:ascii="宋体" w:hAnsi="宋体" w:eastAsia="宋体" w:cs="宋体"/>
          <w:b/>
          <w:bCs/>
          <w:sz w:val="24"/>
        </w:rPr>
      </w:pPr>
      <w:r>
        <w:rPr>
          <w:rFonts w:hint="eastAsia" w:ascii="宋体" w:hAnsi="宋体" w:eastAsia="宋体" w:cs="宋体"/>
          <w:b/>
          <w:bCs/>
          <w:sz w:val="24"/>
        </w:rPr>
        <w:t>一、标的月饼</w:t>
      </w:r>
    </w:p>
    <w:p w14:paraId="0E65546A">
      <w:pPr>
        <w:widowControl/>
        <w:spacing w:before="156" w:beforeLines="50" w:after="156" w:afterLines="50" w:line="400" w:lineRule="exact"/>
        <w:ind w:firstLine="480" w:firstLineChars="200"/>
        <w:rPr>
          <w:rFonts w:hint="eastAsia" w:ascii="宋体" w:hAnsi="宋体" w:eastAsia="宋体" w:cs="宋体"/>
          <w:kern w:val="0"/>
          <w:sz w:val="24"/>
        </w:rPr>
      </w:pPr>
      <w:r>
        <w:rPr>
          <w:rFonts w:hint="eastAsia" w:ascii="宋体" w:hAnsi="宋体" w:eastAsia="宋体" w:cs="宋体"/>
          <w:kern w:val="0"/>
          <w:sz w:val="24"/>
        </w:rPr>
        <w:t>标的月饼的品种、规格、价格见下表：</w:t>
      </w:r>
    </w:p>
    <w:tbl>
      <w:tblPr>
        <w:tblStyle w:val="8"/>
        <w:tblW w:w="9498" w:type="dxa"/>
        <w:jc w:val="center"/>
        <w:tblLayout w:type="fixed"/>
        <w:tblCellMar>
          <w:top w:w="0" w:type="dxa"/>
          <w:left w:w="108" w:type="dxa"/>
          <w:bottom w:w="0" w:type="dxa"/>
          <w:right w:w="108" w:type="dxa"/>
        </w:tblCellMar>
      </w:tblPr>
      <w:tblGrid>
        <w:gridCol w:w="709"/>
        <w:gridCol w:w="1701"/>
        <w:gridCol w:w="2268"/>
        <w:gridCol w:w="992"/>
        <w:gridCol w:w="1276"/>
        <w:gridCol w:w="2552"/>
      </w:tblGrid>
      <w:tr w14:paraId="071F14ED">
        <w:tblPrEx>
          <w:tblCellMar>
            <w:top w:w="0" w:type="dxa"/>
            <w:left w:w="108" w:type="dxa"/>
            <w:bottom w:w="0" w:type="dxa"/>
            <w:right w:w="108" w:type="dxa"/>
          </w:tblCellMar>
        </w:tblPrEx>
        <w:trPr>
          <w:trHeight w:val="995" w:hRule="atLeast"/>
          <w:jc w:val="center"/>
        </w:trPr>
        <w:tc>
          <w:tcPr>
            <w:tcW w:w="709" w:type="dxa"/>
            <w:tcBorders>
              <w:top w:val="single" w:color="auto" w:sz="4" w:space="0"/>
              <w:left w:val="single" w:color="auto" w:sz="4" w:space="0"/>
              <w:bottom w:val="single" w:color="auto" w:sz="4" w:space="0"/>
              <w:right w:val="single" w:color="auto" w:sz="4" w:space="0"/>
            </w:tcBorders>
            <w:noWrap/>
            <w:vAlign w:val="center"/>
          </w:tcPr>
          <w:p w14:paraId="60642632">
            <w:pPr>
              <w:widowControl/>
              <w:jc w:val="center"/>
              <w:textAlignment w:val="center"/>
              <w:rPr>
                <w:rFonts w:hint="eastAsia" w:ascii="宋体" w:hAnsi="宋体" w:eastAsia="宋体" w:cs="宋体"/>
                <w:b/>
                <w:bCs/>
                <w:szCs w:val="21"/>
              </w:rPr>
            </w:pPr>
            <w:r>
              <w:rPr>
                <w:rFonts w:hint="eastAsia" w:ascii="宋体" w:hAnsi="宋体" w:eastAsia="宋体" w:cs="宋体"/>
                <w:b/>
                <w:bCs/>
                <w:kern w:val="0"/>
                <w:szCs w:val="21"/>
                <w:lang w:bidi="ar"/>
              </w:rPr>
              <w:t>序号</w:t>
            </w:r>
          </w:p>
        </w:tc>
        <w:tc>
          <w:tcPr>
            <w:tcW w:w="1701" w:type="dxa"/>
            <w:tcBorders>
              <w:top w:val="single" w:color="auto" w:sz="4" w:space="0"/>
              <w:left w:val="single" w:color="auto" w:sz="4" w:space="0"/>
              <w:bottom w:val="single" w:color="auto" w:sz="4" w:space="0"/>
              <w:right w:val="single" w:color="auto" w:sz="4" w:space="0"/>
            </w:tcBorders>
            <w:noWrap/>
            <w:vAlign w:val="center"/>
          </w:tcPr>
          <w:p w14:paraId="7D1A3523">
            <w:pPr>
              <w:widowControl/>
              <w:jc w:val="center"/>
              <w:textAlignment w:val="center"/>
              <w:rPr>
                <w:rFonts w:hint="eastAsia" w:ascii="宋体" w:hAnsi="宋体" w:eastAsia="宋体" w:cs="宋体"/>
                <w:b/>
                <w:bCs/>
                <w:szCs w:val="21"/>
              </w:rPr>
            </w:pPr>
            <w:r>
              <w:rPr>
                <w:rFonts w:hint="eastAsia" w:ascii="宋体" w:hAnsi="宋体" w:eastAsia="宋体" w:cs="宋体"/>
                <w:b/>
                <w:bCs/>
                <w:kern w:val="0"/>
                <w:szCs w:val="21"/>
                <w:lang w:bidi="ar"/>
              </w:rPr>
              <w:t xml:space="preserve">品 </w:t>
            </w:r>
            <w:r>
              <w:rPr>
                <w:rStyle w:val="19"/>
                <w:rFonts w:hint="default"/>
                <w:color w:val="auto"/>
                <w:lang w:bidi="ar"/>
              </w:rPr>
              <w:t xml:space="preserve"> 种</w:t>
            </w:r>
          </w:p>
        </w:tc>
        <w:tc>
          <w:tcPr>
            <w:tcW w:w="2268" w:type="dxa"/>
            <w:tcBorders>
              <w:top w:val="single" w:color="auto" w:sz="4" w:space="0"/>
              <w:left w:val="single" w:color="auto" w:sz="4" w:space="0"/>
              <w:bottom w:val="single" w:color="auto" w:sz="4" w:space="0"/>
              <w:right w:val="single" w:color="auto" w:sz="4" w:space="0"/>
            </w:tcBorders>
            <w:vAlign w:val="center"/>
          </w:tcPr>
          <w:p w14:paraId="71756BE9">
            <w:pPr>
              <w:widowControl/>
              <w:jc w:val="center"/>
              <w:textAlignment w:val="center"/>
              <w:rPr>
                <w:rFonts w:hint="eastAsia" w:ascii="宋体" w:hAnsi="宋体" w:eastAsia="宋体" w:cs="宋体"/>
                <w:b/>
                <w:bCs/>
                <w:szCs w:val="21"/>
              </w:rPr>
            </w:pPr>
            <w:r>
              <w:rPr>
                <w:rFonts w:hint="eastAsia" w:ascii="宋体" w:hAnsi="宋体" w:eastAsia="宋体" w:cs="宋体"/>
                <w:b/>
                <w:bCs/>
                <w:kern w:val="0"/>
                <w:szCs w:val="21"/>
                <w:lang w:bidi="ar"/>
              </w:rPr>
              <w:t>包装形式</w:t>
            </w:r>
          </w:p>
        </w:tc>
        <w:tc>
          <w:tcPr>
            <w:tcW w:w="992" w:type="dxa"/>
            <w:tcBorders>
              <w:top w:val="single" w:color="auto" w:sz="4" w:space="0"/>
              <w:left w:val="single" w:color="auto" w:sz="4" w:space="0"/>
              <w:bottom w:val="single" w:color="auto" w:sz="4" w:space="0"/>
              <w:right w:val="single" w:color="auto" w:sz="4" w:space="0"/>
            </w:tcBorders>
            <w:vAlign w:val="center"/>
          </w:tcPr>
          <w:p w14:paraId="40B9AE93">
            <w:pPr>
              <w:widowControl/>
              <w:jc w:val="center"/>
              <w:textAlignment w:val="center"/>
              <w:rPr>
                <w:rFonts w:hint="eastAsia" w:ascii="宋体" w:hAnsi="宋体" w:eastAsia="宋体" w:cs="宋体"/>
                <w:b/>
                <w:bCs/>
                <w:szCs w:val="21"/>
              </w:rPr>
            </w:pPr>
            <w:r>
              <w:rPr>
                <w:rFonts w:hint="eastAsia" w:ascii="宋体" w:hAnsi="宋体" w:eastAsia="宋体" w:cs="宋体"/>
                <w:b/>
                <w:bCs/>
                <w:kern w:val="0"/>
                <w:szCs w:val="21"/>
                <w:lang w:bidi="ar"/>
              </w:rPr>
              <w:t>规格</w:t>
            </w:r>
          </w:p>
        </w:tc>
        <w:tc>
          <w:tcPr>
            <w:tcW w:w="1276" w:type="dxa"/>
            <w:tcBorders>
              <w:top w:val="single" w:color="auto" w:sz="4" w:space="0"/>
              <w:left w:val="single" w:color="auto" w:sz="4" w:space="0"/>
              <w:right w:val="single" w:color="auto" w:sz="4" w:space="0"/>
            </w:tcBorders>
            <w:vAlign w:val="center"/>
          </w:tcPr>
          <w:p w14:paraId="2E6B0AA8">
            <w:pPr>
              <w:widowControl/>
              <w:jc w:val="center"/>
              <w:textAlignment w:val="center"/>
              <w:rPr>
                <w:rFonts w:hint="eastAsia" w:ascii="宋体" w:hAnsi="宋体" w:eastAsia="宋体" w:cs="宋体"/>
                <w:b/>
                <w:bCs/>
                <w:kern w:val="0"/>
                <w:szCs w:val="21"/>
                <w:lang w:bidi="ar"/>
              </w:rPr>
            </w:pPr>
            <w:r>
              <w:rPr>
                <w:rFonts w:hint="eastAsia" w:ascii="宋体" w:hAnsi="宋体" w:eastAsia="宋体" w:cs="宋体"/>
                <w:b/>
                <w:bCs/>
                <w:kern w:val="0"/>
                <w:szCs w:val="21"/>
                <w:lang w:bidi="ar"/>
              </w:rPr>
              <w:t>含税单价（元/个）</w:t>
            </w:r>
          </w:p>
        </w:tc>
        <w:tc>
          <w:tcPr>
            <w:tcW w:w="2552" w:type="dxa"/>
            <w:tcBorders>
              <w:top w:val="single" w:color="auto" w:sz="4" w:space="0"/>
              <w:left w:val="single" w:color="auto" w:sz="4" w:space="0"/>
              <w:bottom w:val="single" w:color="auto" w:sz="4" w:space="0"/>
              <w:right w:val="single" w:color="auto" w:sz="4" w:space="0"/>
            </w:tcBorders>
            <w:vAlign w:val="center"/>
          </w:tcPr>
          <w:p w14:paraId="5B848CEC">
            <w:pPr>
              <w:widowControl/>
              <w:jc w:val="center"/>
              <w:textAlignment w:val="center"/>
              <w:rPr>
                <w:rFonts w:hint="eastAsia" w:ascii="宋体" w:hAnsi="宋体" w:eastAsia="宋体" w:cs="宋体"/>
                <w:b/>
                <w:bCs/>
                <w:szCs w:val="21"/>
              </w:rPr>
            </w:pPr>
            <w:r>
              <w:rPr>
                <w:rFonts w:hint="eastAsia" w:ascii="宋体" w:hAnsi="宋体" w:eastAsia="宋体" w:cs="宋体"/>
                <w:b/>
                <w:bCs/>
                <w:kern w:val="0"/>
                <w:szCs w:val="21"/>
                <w:lang w:bidi="ar"/>
              </w:rPr>
              <w:t>主要成分</w:t>
            </w:r>
          </w:p>
        </w:tc>
      </w:tr>
      <w:tr w14:paraId="2596A653">
        <w:tblPrEx>
          <w:tblCellMar>
            <w:top w:w="0" w:type="dxa"/>
            <w:left w:w="108" w:type="dxa"/>
            <w:bottom w:w="0" w:type="dxa"/>
            <w:right w:w="108" w:type="dxa"/>
          </w:tblCellMar>
        </w:tblPrEx>
        <w:trPr>
          <w:trHeight w:val="676" w:hRule="atLeast"/>
          <w:jc w:val="center"/>
        </w:trPr>
        <w:tc>
          <w:tcPr>
            <w:tcW w:w="709" w:type="dxa"/>
            <w:tcBorders>
              <w:top w:val="single" w:color="000000" w:sz="4" w:space="0"/>
              <w:left w:val="single" w:color="000000" w:sz="4" w:space="0"/>
              <w:bottom w:val="single" w:color="000000" w:sz="4" w:space="0"/>
              <w:right w:val="single" w:color="000000" w:sz="4" w:space="0"/>
            </w:tcBorders>
            <w:noWrap/>
            <w:vAlign w:val="center"/>
          </w:tcPr>
          <w:p w14:paraId="4E727DBF">
            <w:pPr>
              <w:widowControl/>
              <w:jc w:val="center"/>
              <w:textAlignment w:val="center"/>
              <w:rPr>
                <w:rFonts w:hint="eastAsia" w:ascii="宋体" w:hAnsi="宋体" w:eastAsia="宋体" w:cs="宋体"/>
                <w:szCs w:val="21"/>
              </w:rPr>
            </w:pPr>
          </w:p>
        </w:tc>
        <w:tc>
          <w:tcPr>
            <w:tcW w:w="1701" w:type="dxa"/>
            <w:tcBorders>
              <w:top w:val="single" w:color="000000" w:sz="4" w:space="0"/>
              <w:left w:val="single" w:color="000000" w:sz="4" w:space="0"/>
              <w:bottom w:val="single" w:color="000000" w:sz="4" w:space="0"/>
              <w:right w:val="single" w:color="000000" w:sz="4" w:space="0"/>
            </w:tcBorders>
            <w:noWrap/>
            <w:vAlign w:val="center"/>
          </w:tcPr>
          <w:p w14:paraId="194EE454">
            <w:pPr>
              <w:widowControl/>
              <w:jc w:val="center"/>
              <w:textAlignment w:val="center"/>
              <w:rPr>
                <w:rFonts w:hint="eastAsia" w:ascii="宋体" w:hAnsi="宋体" w:eastAsia="宋体" w:cs="宋体"/>
                <w:szCs w:val="21"/>
              </w:rPr>
            </w:pPr>
          </w:p>
        </w:tc>
        <w:tc>
          <w:tcPr>
            <w:tcW w:w="2268" w:type="dxa"/>
            <w:tcBorders>
              <w:top w:val="single" w:color="000000" w:sz="4" w:space="0"/>
              <w:left w:val="single" w:color="000000" w:sz="4" w:space="0"/>
              <w:bottom w:val="single" w:color="000000" w:sz="4" w:space="0"/>
              <w:right w:val="single" w:color="000000" w:sz="4" w:space="0"/>
            </w:tcBorders>
            <w:vAlign w:val="center"/>
          </w:tcPr>
          <w:p w14:paraId="029A1920">
            <w:pPr>
              <w:widowControl/>
              <w:jc w:val="center"/>
              <w:textAlignment w:val="center"/>
              <w:rPr>
                <w:rFonts w:hint="eastAsia" w:ascii="宋体" w:hAnsi="宋体" w:eastAsia="宋体" w:cs="宋体"/>
                <w:szCs w:val="21"/>
              </w:rPr>
            </w:pPr>
          </w:p>
        </w:tc>
        <w:tc>
          <w:tcPr>
            <w:tcW w:w="992" w:type="dxa"/>
            <w:tcBorders>
              <w:top w:val="single" w:color="000000" w:sz="4" w:space="0"/>
              <w:left w:val="single" w:color="000000" w:sz="4" w:space="0"/>
              <w:bottom w:val="single" w:color="000000" w:sz="4" w:space="0"/>
              <w:right w:val="single" w:color="000000" w:sz="4" w:space="0"/>
            </w:tcBorders>
            <w:vAlign w:val="center"/>
          </w:tcPr>
          <w:p w14:paraId="6CC29359">
            <w:pPr>
              <w:widowControl/>
              <w:jc w:val="center"/>
              <w:textAlignment w:val="center"/>
              <w:rPr>
                <w:rFonts w:hint="eastAsia" w:ascii="宋体" w:hAnsi="宋体" w:eastAsia="宋体" w:cs="宋体"/>
                <w:szCs w:val="21"/>
              </w:rPr>
            </w:pPr>
          </w:p>
        </w:tc>
        <w:tc>
          <w:tcPr>
            <w:tcW w:w="1276" w:type="dxa"/>
            <w:tcBorders>
              <w:top w:val="single" w:color="auto" w:sz="4" w:space="0"/>
              <w:left w:val="single" w:color="auto" w:sz="4" w:space="0"/>
              <w:bottom w:val="single" w:color="auto" w:sz="4" w:space="0"/>
              <w:right w:val="single" w:color="auto" w:sz="4" w:space="0"/>
            </w:tcBorders>
          </w:tcPr>
          <w:p w14:paraId="7F9BBC69">
            <w:pPr>
              <w:rPr>
                <w:rFonts w:hint="eastAsia" w:ascii="宋体" w:hAnsi="宋体" w:eastAsia="宋体" w:cs="宋体"/>
                <w:szCs w:val="21"/>
              </w:rPr>
            </w:pPr>
          </w:p>
        </w:tc>
        <w:tc>
          <w:tcPr>
            <w:tcW w:w="2552" w:type="dxa"/>
            <w:tcBorders>
              <w:top w:val="single" w:color="auto" w:sz="4" w:space="0"/>
              <w:left w:val="single" w:color="auto" w:sz="4" w:space="0"/>
              <w:bottom w:val="single" w:color="auto" w:sz="4" w:space="0"/>
              <w:right w:val="single" w:color="auto" w:sz="4" w:space="0"/>
            </w:tcBorders>
            <w:vAlign w:val="center"/>
          </w:tcPr>
          <w:p w14:paraId="1497FB76">
            <w:pPr>
              <w:jc w:val="center"/>
              <w:rPr>
                <w:rFonts w:hint="eastAsia" w:ascii="宋体" w:hAnsi="宋体" w:eastAsia="宋体" w:cs="宋体"/>
                <w:szCs w:val="21"/>
              </w:rPr>
            </w:pPr>
          </w:p>
        </w:tc>
      </w:tr>
      <w:tr w14:paraId="3AAA8B18">
        <w:tblPrEx>
          <w:tblCellMar>
            <w:top w:w="0" w:type="dxa"/>
            <w:left w:w="108" w:type="dxa"/>
            <w:bottom w:w="0" w:type="dxa"/>
            <w:right w:w="108" w:type="dxa"/>
          </w:tblCellMar>
        </w:tblPrEx>
        <w:trPr>
          <w:trHeight w:val="573" w:hRule="atLeast"/>
          <w:jc w:val="center"/>
        </w:trPr>
        <w:tc>
          <w:tcPr>
            <w:tcW w:w="4678" w:type="dxa"/>
            <w:gridSpan w:val="3"/>
            <w:tcBorders>
              <w:top w:val="single" w:color="000000" w:sz="4" w:space="0"/>
              <w:left w:val="single" w:color="000000" w:sz="4" w:space="0"/>
              <w:bottom w:val="single" w:color="000000" w:sz="4" w:space="0"/>
              <w:right w:val="single" w:color="000000" w:sz="4" w:space="0"/>
            </w:tcBorders>
            <w:noWrap/>
            <w:vAlign w:val="center"/>
          </w:tcPr>
          <w:p w14:paraId="1F778A6F">
            <w:pPr>
              <w:widowControl/>
              <w:jc w:val="center"/>
              <w:textAlignment w:val="center"/>
              <w:rPr>
                <w:rFonts w:hint="eastAsia" w:ascii="宋体" w:hAnsi="宋体" w:eastAsia="宋体" w:cs="宋体"/>
                <w:szCs w:val="21"/>
              </w:rPr>
            </w:pPr>
            <w:r>
              <w:rPr>
                <w:rFonts w:hint="eastAsia" w:ascii="宋体" w:hAnsi="宋体" w:eastAsia="宋体" w:cs="宋体"/>
                <w:kern w:val="0"/>
                <w:lang w:bidi="ar"/>
              </w:rPr>
              <w:t>专票税率（%）</w:t>
            </w:r>
          </w:p>
        </w:tc>
        <w:tc>
          <w:tcPr>
            <w:tcW w:w="4820" w:type="dxa"/>
            <w:gridSpan w:val="3"/>
            <w:tcBorders>
              <w:top w:val="single" w:color="000000" w:sz="4" w:space="0"/>
              <w:left w:val="single" w:color="000000" w:sz="4" w:space="0"/>
              <w:bottom w:val="single" w:color="000000" w:sz="4" w:space="0"/>
              <w:right w:val="single" w:color="auto" w:sz="4" w:space="0"/>
            </w:tcBorders>
            <w:vAlign w:val="center"/>
          </w:tcPr>
          <w:p w14:paraId="4806745A">
            <w:pPr>
              <w:jc w:val="center"/>
              <w:rPr>
                <w:rFonts w:hint="eastAsia" w:ascii="宋体" w:hAnsi="宋体" w:eastAsia="宋体" w:cs="宋体"/>
                <w:szCs w:val="21"/>
              </w:rPr>
            </w:pPr>
          </w:p>
        </w:tc>
      </w:tr>
      <w:tr w14:paraId="6F08E516">
        <w:tblPrEx>
          <w:tblCellMar>
            <w:top w:w="0" w:type="dxa"/>
            <w:left w:w="108" w:type="dxa"/>
            <w:bottom w:w="0" w:type="dxa"/>
            <w:right w:w="108" w:type="dxa"/>
          </w:tblCellMar>
        </w:tblPrEx>
        <w:trPr>
          <w:trHeight w:val="553" w:hRule="atLeast"/>
          <w:jc w:val="center"/>
        </w:trPr>
        <w:tc>
          <w:tcPr>
            <w:tcW w:w="4678" w:type="dxa"/>
            <w:gridSpan w:val="3"/>
            <w:tcBorders>
              <w:top w:val="single" w:color="000000" w:sz="4" w:space="0"/>
              <w:left w:val="single" w:color="000000" w:sz="4" w:space="0"/>
              <w:bottom w:val="single" w:color="000000" w:sz="4" w:space="0"/>
              <w:right w:val="single" w:color="000000" w:sz="4" w:space="0"/>
            </w:tcBorders>
            <w:noWrap/>
            <w:vAlign w:val="center"/>
          </w:tcPr>
          <w:p w14:paraId="3BA6EEDC">
            <w:pPr>
              <w:widowControl/>
              <w:jc w:val="center"/>
              <w:textAlignment w:val="center"/>
              <w:rPr>
                <w:rFonts w:hint="eastAsia" w:ascii="宋体" w:hAnsi="宋体" w:eastAsia="宋体" w:cs="宋体"/>
                <w:kern w:val="0"/>
                <w:lang w:bidi="ar"/>
              </w:rPr>
            </w:pPr>
            <w:r>
              <w:rPr>
                <w:rFonts w:hint="eastAsia" w:ascii="宋体" w:hAnsi="宋体" w:eastAsia="宋体" w:cs="宋体"/>
                <w:kern w:val="0"/>
                <w:lang w:bidi="ar"/>
              </w:rPr>
              <w:t>单款式最低起订量（个）：</w:t>
            </w:r>
          </w:p>
        </w:tc>
        <w:tc>
          <w:tcPr>
            <w:tcW w:w="4820" w:type="dxa"/>
            <w:gridSpan w:val="3"/>
            <w:tcBorders>
              <w:top w:val="single" w:color="000000" w:sz="4" w:space="0"/>
              <w:left w:val="single" w:color="000000" w:sz="4" w:space="0"/>
              <w:bottom w:val="single" w:color="000000" w:sz="4" w:space="0"/>
              <w:right w:val="single" w:color="auto" w:sz="4" w:space="0"/>
            </w:tcBorders>
            <w:vAlign w:val="center"/>
          </w:tcPr>
          <w:p w14:paraId="0E265148">
            <w:pPr>
              <w:widowControl/>
              <w:jc w:val="center"/>
              <w:textAlignment w:val="center"/>
              <w:rPr>
                <w:rFonts w:hint="eastAsia" w:ascii="宋体" w:hAnsi="宋体" w:eastAsia="宋体" w:cs="宋体"/>
                <w:kern w:val="0"/>
                <w:lang w:bidi="ar"/>
              </w:rPr>
            </w:pPr>
          </w:p>
        </w:tc>
      </w:tr>
      <w:tr w14:paraId="001F31C4">
        <w:tblPrEx>
          <w:tblCellMar>
            <w:top w:w="0" w:type="dxa"/>
            <w:left w:w="108" w:type="dxa"/>
            <w:bottom w:w="0" w:type="dxa"/>
            <w:right w:w="108" w:type="dxa"/>
          </w:tblCellMar>
        </w:tblPrEx>
        <w:trPr>
          <w:trHeight w:val="688" w:hRule="atLeast"/>
          <w:jc w:val="center"/>
        </w:trPr>
        <w:tc>
          <w:tcPr>
            <w:tcW w:w="4678" w:type="dxa"/>
            <w:gridSpan w:val="3"/>
            <w:tcBorders>
              <w:top w:val="single" w:color="000000" w:sz="4" w:space="0"/>
              <w:left w:val="single" w:color="000000" w:sz="4" w:space="0"/>
              <w:bottom w:val="single" w:color="000000" w:sz="4" w:space="0"/>
              <w:right w:val="single" w:color="000000" w:sz="4" w:space="0"/>
            </w:tcBorders>
            <w:noWrap/>
            <w:vAlign w:val="center"/>
          </w:tcPr>
          <w:p w14:paraId="43496418">
            <w:pPr>
              <w:widowControl/>
              <w:jc w:val="center"/>
              <w:textAlignment w:val="center"/>
              <w:rPr>
                <w:rFonts w:hint="eastAsia" w:ascii="宋体" w:hAnsi="宋体" w:eastAsia="宋体" w:cs="宋体"/>
                <w:kern w:val="0"/>
                <w:lang w:bidi="ar"/>
              </w:rPr>
            </w:pPr>
            <w:r>
              <w:rPr>
                <w:rFonts w:hint="eastAsia" w:ascii="宋体" w:hAnsi="宋体" w:eastAsia="宋体" w:cs="宋体"/>
                <w:kern w:val="0"/>
                <w:lang w:bidi="ar"/>
              </w:rPr>
              <w:t>到货周期（天）：</w:t>
            </w:r>
          </w:p>
        </w:tc>
        <w:tc>
          <w:tcPr>
            <w:tcW w:w="4820" w:type="dxa"/>
            <w:gridSpan w:val="3"/>
            <w:tcBorders>
              <w:top w:val="single" w:color="000000" w:sz="4" w:space="0"/>
              <w:left w:val="single" w:color="000000" w:sz="4" w:space="0"/>
              <w:bottom w:val="single" w:color="000000" w:sz="4" w:space="0"/>
              <w:right w:val="single" w:color="auto" w:sz="4" w:space="0"/>
            </w:tcBorders>
            <w:vAlign w:val="center"/>
          </w:tcPr>
          <w:p w14:paraId="7191C428">
            <w:pPr>
              <w:widowControl/>
              <w:jc w:val="center"/>
              <w:textAlignment w:val="center"/>
              <w:rPr>
                <w:rFonts w:hint="eastAsia" w:ascii="宋体" w:hAnsi="宋体" w:eastAsia="宋体" w:cs="宋体"/>
                <w:kern w:val="0"/>
                <w:lang w:bidi="ar"/>
              </w:rPr>
            </w:pPr>
            <w:r>
              <w:rPr>
                <w:rFonts w:hint="eastAsia" w:ascii="宋体" w:hAnsi="宋体" w:eastAsia="宋体" w:cs="宋体"/>
                <w:kern w:val="0"/>
                <w:lang w:bidi="ar"/>
              </w:rPr>
              <w:t>货期  天（月饼包材需在交货前  天到达月饼供货方）</w:t>
            </w:r>
          </w:p>
        </w:tc>
      </w:tr>
    </w:tbl>
    <w:p w14:paraId="47C4C9CD">
      <w:pPr>
        <w:keepNext/>
        <w:keepLines/>
        <w:spacing w:before="156" w:beforeLines="50" w:after="156" w:afterLines="50" w:line="400" w:lineRule="exact"/>
        <w:outlineLvl w:val="1"/>
        <w:rPr>
          <w:rFonts w:hint="eastAsia" w:ascii="宋体" w:hAnsi="宋体" w:eastAsia="宋体" w:cs="宋体"/>
          <w:b/>
          <w:bCs/>
          <w:sz w:val="24"/>
        </w:rPr>
      </w:pPr>
      <w:r>
        <w:rPr>
          <w:rFonts w:hint="eastAsia" w:ascii="宋体" w:hAnsi="宋体" w:eastAsia="宋体" w:cs="宋体"/>
          <w:b/>
          <w:bCs/>
          <w:sz w:val="24"/>
        </w:rPr>
        <w:t>二、月饼订购及供货</w:t>
      </w:r>
    </w:p>
    <w:p w14:paraId="637E8DA5">
      <w:pPr>
        <w:widowControl/>
        <w:numPr>
          <w:ilvl w:val="0"/>
          <w:numId w:val="24"/>
        </w:numPr>
        <w:spacing w:before="156" w:beforeLines="50" w:after="156" w:afterLines="50" w:line="400" w:lineRule="exact"/>
        <w:ind w:firstLine="480" w:firstLineChars="200"/>
        <w:rPr>
          <w:rFonts w:hint="eastAsia" w:ascii="宋体" w:hAnsi="宋体" w:eastAsia="宋体" w:cs="宋体"/>
          <w:b/>
          <w:kern w:val="0"/>
          <w:sz w:val="24"/>
        </w:rPr>
      </w:pPr>
      <w:r>
        <w:rPr>
          <w:rFonts w:hint="eastAsia" w:ascii="宋体" w:hAnsi="宋体" w:eastAsia="宋体" w:cs="宋体"/>
          <w:sz w:val="24"/>
        </w:rPr>
        <w:t>订单的确认：甲方按照需要，分批向乙方订购货物，每次订货数量、包装要求、送货时间及送货地点以甲方最终的通知为准，甲方每次在微信或QQ下单群向乙方下订单，乙方单次送货数量误差不超过订货总数量的±2%，否则甲方有权拒收该批次的货物，同时乙方应尽快补送符合甲方要求数量的货物至甲方指定地点。乙方接到甲方每批次订货信息后，应在下单当天内在上述下单群中予以回复，并在</w:t>
      </w:r>
      <w:r>
        <w:rPr>
          <w:rFonts w:hint="eastAsia" w:ascii="宋体" w:hAnsi="宋体" w:eastAsia="宋体" w:cs="宋体"/>
          <w:sz w:val="24"/>
          <w:u w:val="single"/>
        </w:rPr>
        <w:t xml:space="preserve">  </w:t>
      </w:r>
      <w:r>
        <w:rPr>
          <w:rFonts w:hint="eastAsia" w:ascii="宋体" w:hAnsi="宋体" w:eastAsia="宋体" w:cs="宋体"/>
          <w:sz w:val="24"/>
        </w:rPr>
        <w:t>天内完成出货（月饼包材需在交货前</w:t>
      </w:r>
      <w:r>
        <w:rPr>
          <w:rFonts w:hint="eastAsia" w:ascii="宋体" w:hAnsi="宋体" w:eastAsia="宋体" w:cs="宋体"/>
          <w:sz w:val="24"/>
          <w:u w:val="single"/>
        </w:rPr>
        <w:t xml:space="preserve">  </w:t>
      </w:r>
      <w:r>
        <w:rPr>
          <w:rFonts w:hint="eastAsia" w:ascii="宋体" w:hAnsi="宋体" w:eastAsia="宋体" w:cs="宋体"/>
          <w:sz w:val="24"/>
        </w:rPr>
        <w:t xml:space="preserve">天到达乙方），每张订单最低起订量为 </w:t>
      </w:r>
      <w:r>
        <w:rPr>
          <w:rFonts w:hint="eastAsia" w:ascii="宋体" w:hAnsi="宋体" w:eastAsia="宋体" w:cs="宋体"/>
          <w:sz w:val="24"/>
          <w:u w:val="single"/>
        </w:rPr>
        <w:t xml:space="preserve">   </w:t>
      </w:r>
      <w:r>
        <w:rPr>
          <w:rFonts w:hint="eastAsia" w:ascii="宋体" w:hAnsi="宋体" w:eastAsia="宋体" w:cs="宋体"/>
          <w:sz w:val="24"/>
        </w:rPr>
        <w:t>个，货期</w:t>
      </w:r>
      <w:r>
        <w:rPr>
          <w:rFonts w:hint="eastAsia" w:ascii="宋体" w:hAnsi="宋体" w:eastAsia="宋体" w:cs="宋体"/>
          <w:sz w:val="24"/>
          <w:u w:val="single"/>
        </w:rPr>
        <w:t xml:space="preserve">  </w:t>
      </w:r>
      <w:r>
        <w:rPr>
          <w:rFonts w:hint="eastAsia" w:ascii="宋体" w:hAnsi="宋体" w:eastAsia="宋体" w:cs="宋体"/>
          <w:sz w:val="24"/>
        </w:rPr>
        <w:t>天；逾期不回复视为乙方收到该订单，并应按照甲方指定时间内将货物送到甲方指定地点，若乙方未按照甲方指定时间送货的，甲方有权追加乙方的违约责任。</w:t>
      </w:r>
    </w:p>
    <w:p w14:paraId="090CE8CF">
      <w:pPr>
        <w:widowControl/>
        <w:numPr>
          <w:ilvl w:val="0"/>
          <w:numId w:val="24"/>
        </w:numPr>
        <w:spacing w:before="156" w:beforeLines="50" w:after="156" w:afterLines="50" w:line="400" w:lineRule="exact"/>
        <w:ind w:firstLine="480" w:firstLineChars="200"/>
        <w:rPr>
          <w:rFonts w:hint="eastAsia" w:ascii="宋体" w:hAnsi="宋体" w:eastAsia="宋体" w:cs="宋体"/>
          <w:sz w:val="24"/>
        </w:rPr>
      </w:pPr>
      <w:r>
        <w:rPr>
          <w:rFonts w:hint="eastAsia" w:ascii="宋体" w:hAnsi="宋体" w:eastAsia="宋体" w:cs="宋体"/>
          <w:kern w:val="0"/>
          <w:sz w:val="24"/>
        </w:rPr>
        <w:t>在本合同有效期内，如甲方需要加急补充月饼采购的，乙方同意按照不高于本合同约定综合单价的标准及时向甲方供货，届时甲方将以订单方式发送给乙方。加急补充月饼部分，以对账单双方确认的金额，进行最后结算。</w:t>
      </w:r>
    </w:p>
    <w:p w14:paraId="4F4BF5F6">
      <w:pPr>
        <w:keepNext/>
        <w:keepLines/>
        <w:spacing w:before="156" w:beforeLines="50" w:after="156" w:afterLines="50" w:line="400" w:lineRule="exact"/>
        <w:ind w:firstLine="482" w:firstLineChars="200"/>
        <w:outlineLvl w:val="1"/>
        <w:rPr>
          <w:rFonts w:hint="eastAsia" w:ascii="宋体" w:hAnsi="宋体" w:eastAsia="宋体" w:cs="宋体"/>
          <w:b/>
          <w:bCs/>
          <w:sz w:val="24"/>
        </w:rPr>
      </w:pPr>
      <w:bookmarkStart w:id="24" w:name="_Toc456174146"/>
      <w:r>
        <w:rPr>
          <w:rFonts w:hint="eastAsia" w:ascii="宋体" w:hAnsi="宋体" w:eastAsia="宋体" w:cs="宋体"/>
          <w:b/>
          <w:bCs/>
          <w:sz w:val="24"/>
        </w:rPr>
        <w:t>三、月饼价格</w:t>
      </w:r>
      <w:bookmarkEnd w:id="24"/>
    </w:p>
    <w:p w14:paraId="3027B104">
      <w:pPr>
        <w:widowControl/>
        <w:spacing w:before="156" w:beforeLines="50" w:after="156" w:afterLines="50" w:line="400" w:lineRule="exact"/>
        <w:ind w:firstLine="480" w:firstLineChars="200"/>
        <w:rPr>
          <w:rFonts w:hint="eastAsia" w:ascii="宋体" w:hAnsi="宋体" w:eastAsia="宋体" w:cs="宋体"/>
          <w:kern w:val="0"/>
          <w:sz w:val="24"/>
        </w:rPr>
      </w:pPr>
      <w:r>
        <w:rPr>
          <w:rFonts w:hint="eastAsia" w:ascii="宋体" w:hAnsi="宋体" w:eastAsia="宋体" w:cs="宋体"/>
          <w:kern w:val="0"/>
          <w:sz w:val="24"/>
        </w:rPr>
        <w:t>双方同意，甲方向乙方所采购的月饼单价均为综合包干单价，包括但不限于月饼制作加工、包装（含脱氧剂、干燥剂、独立包装饼托、卷膜等费用）采购、组装、运输（含送货至甲方指定收货地点的运输费、装卸费、搬运费）、损耗、保管、装卸车、配合、协调、</w:t>
      </w:r>
      <w:r>
        <w:rPr>
          <w:rFonts w:hint="eastAsia" w:ascii="宋体" w:hAnsi="宋体" w:eastAsia="宋体" w:cs="宋体"/>
          <w:sz w:val="24"/>
        </w:rPr>
        <w:t>检测、</w:t>
      </w:r>
      <w:r>
        <w:rPr>
          <w:rFonts w:hint="eastAsia" w:ascii="宋体" w:hAnsi="宋体" w:eastAsia="宋体" w:cs="宋体"/>
          <w:kern w:val="0"/>
          <w:sz w:val="24"/>
        </w:rPr>
        <w:t>办理相关手续、</w:t>
      </w:r>
      <w:r>
        <w:rPr>
          <w:rFonts w:hint="eastAsia" w:ascii="宋体" w:hAnsi="宋体" w:eastAsia="宋体" w:cs="宋体"/>
          <w:sz w:val="24"/>
        </w:rPr>
        <w:t>保险、</w:t>
      </w:r>
      <w:r>
        <w:rPr>
          <w:rFonts w:hint="eastAsia" w:ascii="宋体" w:hAnsi="宋体" w:eastAsia="宋体" w:cs="宋体"/>
          <w:kern w:val="0"/>
          <w:sz w:val="24"/>
        </w:rPr>
        <w:t>多次搬运、差旅费用、抽检、管理、利润、税金、人工等乙方完成本合同约定义务所需的一切费用。除此之外，甲方不因本合同履行而向乙方及/或第三方支付其他任何费用，且在本合同有效期内，月饼单价不因市场价格波动、工资、费率、税率、汇率的变动或政府颁发的任何调价文件等任何原因而调增。</w:t>
      </w:r>
    </w:p>
    <w:p w14:paraId="7DBEA756">
      <w:pPr>
        <w:keepNext/>
        <w:keepLines/>
        <w:spacing w:before="156" w:beforeLines="50" w:after="156" w:afterLines="50" w:line="400" w:lineRule="exact"/>
        <w:ind w:firstLine="482" w:firstLineChars="200"/>
        <w:outlineLvl w:val="1"/>
        <w:rPr>
          <w:rFonts w:hint="eastAsia" w:ascii="宋体" w:hAnsi="宋体" w:eastAsia="宋体" w:cs="宋体"/>
          <w:b/>
          <w:bCs/>
          <w:sz w:val="24"/>
        </w:rPr>
      </w:pPr>
      <w:bookmarkStart w:id="25" w:name="_Toc456174147"/>
      <w:r>
        <w:rPr>
          <w:rFonts w:hint="eastAsia" w:ascii="宋体" w:hAnsi="宋体" w:eastAsia="宋体" w:cs="宋体"/>
          <w:b/>
          <w:bCs/>
          <w:sz w:val="24"/>
        </w:rPr>
        <w:t>四、</w:t>
      </w:r>
      <w:bookmarkEnd w:id="25"/>
      <w:r>
        <w:rPr>
          <w:rFonts w:hint="eastAsia" w:ascii="宋体" w:hAnsi="宋体" w:eastAsia="宋体" w:cs="宋体"/>
          <w:b/>
          <w:bCs/>
          <w:sz w:val="24"/>
        </w:rPr>
        <w:t>结算方式</w:t>
      </w:r>
    </w:p>
    <w:p w14:paraId="162699FD">
      <w:pPr>
        <w:widowControl/>
        <w:spacing w:before="156" w:beforeLines="50" w:after="156" w:afterLines="50" w:line="400" w:lineRule="exact"/>
        <w:ind w:firstLine="480" w:firstLineChars="200"/>
        <w:rPr>
          <w:rFonts w:hint="eastAsia" w:ascii="宋体" w:hAnsi="宋体" w:eastAsia="宋体" w:cs="宋体"/>
          <w:kern w:val="0"/>
          <w:sz w:val="24"/>
        </w:rPr>
      </w:pPr>
      <w:r>
        <w:rPr>
          <w:rFonts w:hint="eastAsia" w:ascii="宋体" w:hAnsi="宋体" w:eastAsia="宋体" w:cs="宋体"/>
          <w:sz w:val="24"/>
        </w:rPr>
        <w:t>1.月饼按甲方规定的时间到货后，经甲方验收确认合格，验收不合格的，乙方应在【】日内日进行补充发货，甲方在订单全部到货后完成双方对账并收到合规发票30天内支付相应货款</w:t>
      </w:r>
      <w:r>
        <w:rPr>
          <w:rFonts w:hint="eastAsia" w:ascii="宋体" w:hAnsi="宋体" w:eastAsia="宋体" w:cs="宋体"/>
          <w:kern w:val="0"/>
          <w:sz w:val="24"/>
        </w:rPr>
        <w:t>。</w:t>
      </w:r>
    </w:p>
    <w:p w14:paraId="61EE293E">
      <w:pPr>
        <w:spacing w:line="360" w:lineRule="auto"/>
        <w:ind w:firstLine="480" w:firstLineChars="200"/>
        <w:rPr>
          <w:rFonts w:hint="eastAsia" w:ascii="宋体" w:hAnsi="宋体" w:eastAsia="宋体" w:cs="宋体"/>
          <w:sz w:val="24"/>
        </w:rPr>
      </w:pPr>
      <w:r>
        <w:rPr>
          <w:rFonts w:hint="eastAsia" w:ascii="宋体" w:hAnsi="宋体" w:eastAsia="宋体" w:cs="宋体"/>
          <w:kern w:val="0"/>
          <w:sz w:val="24"/>
        </w:rPr>
        <w:t>2.</w:t>
      </w:r>
      <w:r>
        <w:rPr>
          <w:rFonts w:hint="eastAsia" w:ascii="宋体" w:hAnsi="宋体" w:eastAsia="宋体" w:cs="宋体"/>
          <w:sz w:val="24"/>
        </w:rPr>
        <w:t>甲方付款先决条件：</w:t>
      </w:r>
    </w:p>
    <w:p w14:paraId="08B1216B">
      <w:pPr>
        <w:widowControl/>
        <w:spacing w:before="156" w:beforeLines="50" w:after="156" w:afterLines="50" w:line="400" w:lineRule="exact"/>
        <w:ind w:firstLine="480" w:firstLineChars="200"/>
        <w:rPr>
          <w:rFonts w:hint="eastAsia" w:ascii="宋体" w:hAnsi="宋体" w:eastAsia="宋体" w:cs="宋体"/>
          <w:kern w:val="0"/>
          <w:sz w:val="24"/>
        </w:rPr>
      </w:pPr>
      <w:r>
        <w:rPr>
          <w:rFonts w:hint="eastAsia" w:ascii="宋体" w:hAnsi="宋体" w:eastAsia="宋体" w:cs="宋体"/>
          <w:sz w:val="24"/>
        </w:rPr>
        <w:t>（1）</w:t>
      </w:r>
      <w:r>
        <w:rPr>
          <w:rFonts w:hint="eastAsia" w:ascii="宋体" w:hAnsi="宋体" w:eastAsia="宋体" w:cs="宋体"/>
          <w:kern w:val="0"/>
          <w:sz w:val="24"/>
        </w:rPr>
        <w:t>乙方应在甲方每次付款前向甲方提供等额合法的增值税发票，乙方未按前述约定开具发票的，或者乙方未按约定提供结算资料的，甲方有权拒绝付款且不视为违约。</w:t>
      </w:r>
    </w:p>
    <w:p w14:paraId="0E5BBCF2">
      <w:pPr>
        <w:widowControl/>
        <w:spacing w:before="156" w:beforeLines="50" w:after="156" w:afterLines="50" w:line="400" w:lineRule="exact"/>
        <w:ind w:firstLine="480" w:firstLineChars="200"/>
        <w:rPr>
          <w:rFonts w:hint="eastAsia" w:ascii="宋体" w:hAnsi="宋体" w:eastAsia="宋体" w:cs="宋体"/>
          <w:kern w:val="0"/>
          <w:sz w:val="24"/>
        </w:rPr>
      </w:pPr>
      <w:r>
        <w:rPr>
          <w:rFonts w:hint="eastAsia" w:ascii="宋体" w:hAnsi="宋体" w:eastAsia="宋体" w:cs="宋体"/>
          <w:kern w:val="0"/>
          <w:sz w:val="24"/>
        </w:rPr>
        <w:t>（2）乙方指定收款账户基本情况如下：</w:t>
      </w:r>
    </w:p>
    <w:p w14:paraId="706C56CB">
      <w:pPr>
        <w:widowControl/>
        <w:spacing w:before="156" w:beforeLines="50" w:after="156" w:afterLines="50" w:line="400" w:lineRule="exact"/>
        <w:ind w:firstLine="480" w:firstLineChars="200"/>
        <w:rPr>
          <w:rFonts w:hint="eastAsia" w:ascii="宋体" w:hAnsi="宋体" w:eastAsia="宋体" w:cs="宋体"/>
          <w:kern w:val="0"/>
          <w:sz w:val="24"/>
        </w:rPr>
      </w:pPr>
      <w:r>
        <w:rPr>
          <w:rFonts w:hint="eastAsia" w:ascii="宋体" w:hAnsi="宋体" w:eastAsia="宋体" w:cs="宋体"/>
          <w:kern w:val="0"/>
          <w:sz w:val="24"/>
        </w:rPr>
        <w:t xml:space="preserve">名称： </w:t>
      </w:r>
    </w:p>
    <w:p w14:paraId="074AA382">
      <w:pPr>
        <w:widowControl/>
        <w:spacing w:before="156" w:beforeLines="50" w:after="156" w:afterLines="50" w:line="400" w:lineRule="exact"/>
        <w:ind w:firstLine="480" w:firstLineChars="200"/>
        <w:rPr>
          <w:rFonts w:hint="eastAsia" w:ascii="宋体" w:hAnsi="宋体" w:eastAsia="宋体" w:cs="宋体"/>
          <w:kern w:val="0"/>
          <w:sz w:val="24"/>
        </w:rPr>
      </w:pPr>
      <w:r>
        <w:rPr>
          <w:rFonts w:hint="eastAsia" w:ascii="宋体" w:hAnsi="宋体" w:eastAsia="宋体" w:cs="宋体"/>
          <w:kern w:val="0"/>
          <w:sz w:val="24"/>
        </w:rPr>
        <w:t>统一社会信用代码：</w:t>
      </w:r>
    </w:p>
    <w:p w14:paraId="556F6C25">
      <w:pPr>
        <w:widowControl/>
        <w:spacing w:before="156" w:beforeLines="50" w:after="156" w:afterLines="50" w:line="400" w:lineRule="exact"/>
        <w:ind w:firstLine="480" w:firstLineChars="200"/>
        <w:rPr>
          <w:rFonts w:hint="eastAsia" w:ascii="宋体" w:hAnsi="宋体" w:eastAsia="宋体" w:cs="宋体"/>
          <w:kern w:val="0"/>
          <w:sz w:val="24"/>
        </w:rPr>
      </w:pPr>
      <w:r>
        <w:rPr>
          <w:rFonts w:hint="eastAsia" w:ascii="宋体" w:hAnsi="宋体" w:eastAsia="宋体" w:cs="宋体"/>
          <w:kern w:val="0"/>
          <w:sz w:val="24"/>
        </w:rPr>
        <w:t>地址及电话：</w:t>
      </w:r>
    </w:p>
    <w:p w14:paraId="2E94B0F1">
      <w:pPr>
        <w:widowControl/>
        <w:spacing w:before="156" w:beforeLines="50" w:after="156" w:afterLines="50" w:line="400" w:lineRule="exact"/>
        <w:ind w:firstLine="480" w:firstLineChars="200"/>
        <w:rPr>
          <w:rFonts w:hint="eastAsia" w:ascii="宋体" w:hAnsi="宋体" w:eastAsia="宋体" w:cs="宋体"/>
          <w:kern w:val="0"/>
          <w:sz w:val="24"/>
        </w:rPr>
      </w:pPr>
      <w:r>
        <w:rPr>
          <w:rFonts w:hint="eastAsia" w:ascii="宋体" w:hAnsi="宋体" w:eastAsia="宋体" w:cs="宋体"/>
          <w:kern w:val="0"/>
          <w:sz w:val="24"/>
        </w:rPr>
        <w:t xml:space="preserve">开户银行及账号： </w:t>
      </w:r>
    </w:p>
    <w:p w14:paraId="1954DDCD">
      <w:pPr>
        <w:widowControl/>
        <w:spacing w:before="156" w:beforeLines="50" w:after="156" w:afterLines="50" w:line="400" w:lineRule="exact"/>
        <w:ind w:firstLine="480" w:firstLineChars="200"/>
        <w:rPr>
          <w:rFonts w:hint="eastAsia" w:ascii="宋体" w:hAnsi="宋体" w:eastAsia="宋体" w:cs="宋体"/>
          <w:sz w:val="24"/>
        </w:rPr>
      </w:pPr>
      <w:r>
        <w:rPr>
          <w:rFonts w:hint="eastAsia" w:ascii="宋体" w:hAnsi="宋体" w:eastAsia="宋体" w:cs="宋体"/>
          <w:kern w:val="0"/>
          <w:sz w:val="24"/>
        </w:rPr>
        <w:t>乙方确保上述银行账户无误。甲方按约定向上述账户支付价款的，即视为完成本合同项下的相应付款义务。</w:t>
      </w:r>
      <w:r>
        <w:rPr>
          <w:rFonts w:hint="eastAsia" w:ascii="宋体" w:hAnsi="宋体" w:eastAsia="宋体" w:cs="宋体"/>
          <w:sz w:val="24"/>
        </w:rPr>
        <w:t>乙方的上述收款账户信息发生任何变更，应于甲方付款前至少30日内书面通知甲方。若由于乙方上述收款账户信息不准确或其他原因导致甲方无法根据本条规定履行付款义务的，甲方可顺延在合理的时间内完成付款，且甲方的前述行为不构成其于本合同项下的违约。</w:t>
      </w:r>
    </w:p>
    <w:p w14:paraId="67CDC98D">
      <w:pPr>
        <w:keepNext/>
        <w:keepLines/>
        <w:spacing w:before="156" w:beforeLines="50" w:after="156" w:afterLines="50" w:line="400" w:lineRule="exact"/>
        <w:ind w:firstLine="482" w:firstLineChars="200"/>
        <w:outlineLvl w:val="1"/>
        <w:rPr>
          <w:rFonts w:hint="eastAsia" w:ascii="宋体" w:hAnsi="宋体" w:eastAsia="宋体" w:cs="宋体"/>
          <w:b/>
          <w:bCs/>
          <w:sz w:val="24"/>
        </w:rPr>
      </w:pPr>
      <w:bookmarkStart w:id="26" w:name="_Toc456174148"/>
      <w:r>
        <w:rPr>
          <w:rFonts w:hint="eastAsia" w:ascii="宋体" w:hAnsi="宋体" w:eastAsia="宋体" w:cs="宋体"/>
          <w:b/>
          <w:bCs/>
          <w:sz w:val="24"/>
        </w:rPr>
        <w:t>五、履约担保</w:t>
      </w:r>
    </w:p>
    <w:p w14:paraId="5CBA1C62">
      <w:pPr>
        <w:spacing w:before="156" w:beforeLines="50" w:after="156" w:afterLines="50" w:line="400" w:lineRule="exact"/>
        <w:ind w:firstLine="480" w:firstLineChars="200"/>
        <w:rPr>
          <w:rFonts w:hint="eastAsia" w:ascii="宋体" w:hAnsi="宋体" w:eastAsia="宋体" w:cs="宋体"/>
          <w:kern w:val="0"/>
          <w:sz w:val="24"/>
        </w:rPr>
      </w:pPr>
      <w:r>
        <w:rPr>
          <w:rFonts w:hint="eastAsia" w:ascii="宋体" w:hAnsi="宋体" w:eastAsia="宋体" w:cs="宋体"/>
          <w:kern w:val="0"/>
          <w:sz w:val="24"/>
        </w:rPr>
        <w:t>1.本合同签订之日起5个工作日内，乙方应向甲方提交履约保证金</w:t>
      </w:r>
      <w:r>
        <w:rPr>
          <w:rFonts w:hint="eastAsia" w:ascii="宋体" w:hAnsi="宋体" w:eastAsia="宋体" w:cs="宋体"/>
          <w:sz w:val="24"/>
        </w:rPr>
        <w:t>【    】元，</w:t>
      </w:r>
      <w:r>
        <w:rPr>
          <w:rFonts w:hint="eastAsia" w:ascii="宋体" w:hAnsi="宋体" w:eastAsia="宋体" w:cs="宋体"/>
          <w:kern w:val="0"/>
          <w:sz w:val="24"/>
        </w:rPr>
        <w:t>作为乙方妥善履行合同义务的担保，</w:t>
      </w:r>
      <w:r>
        <w:rPr>
          <w:rFonts w:hint="eastAsia" w:ascii="宋体" w:hAnsi="宋体" w:eastAsia="宋体" w:cs="宋体"/>
          <w:sz w:val="24"/>
        </w:rPr>
        <w:t>甲方提供等额的财务收据。</w:t>
      </w:r>
      <w:r>
        <w:rPr>
          <w:rFonts w:hint="eastAsia" w:ascii="宋体" w:hAnsi="宋体" w:eastAsia="宋体" w:cs="宋体"/>
          <w:kern w:val="0"/>
          <w:sz w:val="24"/>
        </w:rPr>
        <w:t>如发生乙方违约，甲方有权从履约保证金中扣除乙方应承担的赔偿金或违约金。</w:t>
      </w:r>
    </w:p>
    <w:p w14:paraId="6ADFC699">
      <w:pPr>
        <w:spacing w:before="156" w:beforeLines="50" w:after="156" w:afterLines="50" w:line="400" w:lineRule="exact"/>
        <w:ind w:firstLine="480" w:firstLineChars="200"/>
        <w:rPr>
          <w:rFonts w:hint="eastAsia" w:ascii="宋体" w:hAnsi="宋体" w:eastAsia="宋体" w:cs="宋体"/>
          <w:kern w:val="0"/>
          <w:sz w:val="24"/>
        </w:rPr>
      </w:pPr>
      <w:r>
        <w:rPr>
          <w:rFonts w:hint="eastAsia" w:ascii="宋体" w:hAnsi="宋体" w:eastAsia="宋体" w:cs="宋体"/>
          <w:kern w:val="0"/>
          <w:sz w:val="24"/>
        </w:rPr>
        <w:t>2.本合同履行期间，乙方如有本合同约定之任一违约行为的，甲方有权扣除乙方缴纳的全部履约保证金，如仍不足以赔偿甲方全部损失的，甲方有权继续向乙方追偿（包括但不限于甲方因此支付的维权损失，如诉讼费、律师费、交通费等）。</w:t>
      </w:r>
    </w:p>
    <w:p w14:paraId="25D2C41C">
      <w:pPr>
        <w:spacing w:before="156" w:beforeLines="50" w:after="156" w:afterLines="50" w:line="400" w:lineRule="exact"/>
        <w:ind w:firstLine="480" w:firstLineChars="200"/>
        <w:rPr>
          <w:rFonts w:hint="eastAsia" w:ascii="宋体" w:hAnsi="宋体" w:eastAsia="宋体" w:cs="宋体"/>
          <w:kern w:val="0"/>
          <w:sz w:val="24"/>
        </w:rPr>
      </w:pPr>
      <w:r>
        <w:rPr>
          <w:rFonts w:hint="eastAsia" w:ascii="宋体" w:hAnsi="宋体" w:eastAsia="宋体" w:cs="宋体"/>
          <w:kern w:val="0"/>
          <w:sz w:val="24"/>
        </w:rPr>
        <w:t>3.履约保证金在最后一次供货后，若无质量问题或其他纠纷的，由甲方一次性无息退还。</w:t>
      </w:r>
    </w:p>
    <w:p w14:paraId="21BA28A3">
      <w:pPr>
        <w:keepNext/>
        <w:keepLines/>
        <w:spacing w:before="156" w:beforeLines="50" w:after="156" w:afterLines="50" w:line="400" w:lineRule="exact"/>
        <w:ind w:firstLine="482" w:firstLineChars="200"/>
        <w:outlineLvl w:val="1"/>
        <w:rPr>
          <w:rFonts w:hint="eastAsia" w:ascii="宋体" w:hAnsi="宋体" w:eastAsia="宋体" w:cs="宋体"/>
          <w:b/>
          <w:bCs/>
          <w:sz w:val="24"/>
        </w:rPr>
      </w:pPr>
      <w:r>
        <w:rPr>
          <w:rFonts w:hint="eastAsia" w:ascii="宋体" w:hAnsi="宋体" w:eastAsia="宋体" w:cs="宋体"/>
          <w:b/>
          <w:bCs/>
          <w:sz w:val="24"/>
        </w:rPr>
        <w:t>六、甲方权利义务</w:t>
      </w:r>
      <w:bookmarkEnd w:id="26"/>
    </w:p>
    <w:p w14:paraId="7DB5AD1C">
      <w:pPr>
        <w:spacing w:before="156" w:beforeLines="50" w:after="156" w:afterLines="50" w:line="400" w:lineRule="exact"/>
        <w:ind w:firstLine="480" w:firstLineChars="200"/>
        <w:rPr>
          <w:rFonts w:hint="eastAsia" w:ascii="宋体" w:hAnsi="宋体" w:eastAsia="宋体" w:cs="宋体"/>
          <w:kern w:val="0"/>
          <w:sz w:val="24"/>
        </w:rPr>
      </w:pPr>
      <w:r>
        <w:rPr>
          <w:rFonts w:hint="eastAsia" w:ascii="宋体" w:hAnsi="宋体" w:eastAsia="宋体" w:cs="宋体"/>
          <w:kern w:val="0"/>
          <w:sz w:val="24"/>
        </w:rPr>
        <w:t>1.甲方有自主决定月饼需求的时间、品项、数量等的权利，在本合同供货期内甲方有权向其他第三方等采购月饼，且无需向乙方承担任何违约责任或支付任何费用或补偿。</w:t>
      </w:r>
    </w:p>
    <w:p w14:paraId="3DBEF858">
      <w:pPr>
        <w:spacing w:before="156" w:beforeLines="50" w:after="156" w:afterLines="50" w:line="400" w:lineRule="exact"/>
        <w:ind w:firstLine="480" w:firstLineChars="200"/>
        <w:rPr>
          <w:rFonts w:hint="eastAsia" w:ascii="宋体" w:hAnsi="宋体" w:eastAsia="宋体" w:cs="宋体"/>
          <w:kern w:val="0"/>
          <w:sz w:val="24"/>
        </w:rPr>
      </w:pPr>
      <w:r>
        <w:rPr>
          <w:rFonts w:hint="eastAsia" w:ascii="宋体" w:hAnsi="宋体" w:eastAsia="宋体" w:cs="宋体"/>
          <w:kern w:val="0"/>
          <w:sz w:val="24"/>
        </w:rPr>
        <w:t>2.甲方有权评估乙方的资质和能力，并可对乙方供应的商品随时进行监控。</w:t>
      </w:r>
    </w:p>
    <w:p w14:paraId="624A1478">
      <w:pPr>
        <w:spacing w:before="156" w:beforeLines="50" w:after="156" w:afterLines="50" w:line="400" w:lineRule="exact"/>
        <w:ind w:firstLine="480" w:firstLineChars="200"/>
        <w:rPr>
          <w:rFonts w:hint="eastAsia" w:ascii="宋体" w:hAnsi="宋体" w:eastAsia="宋体" w:cs="宋体"/>
          <w:kern w:val="0"/>
          <w:sz w:val="24"/>
        </w:rPr>
      </w:pPr>
      <w:r>
        <w:rPr>
          <w:rFonts w:hint="eastAsia" w:ascii="宋体" w:hAnsi="宋体" w:eastAsia="宋体" w:cs="宋体"/>
          <w:kern w:val="0"/>
          <w:sz w:val="24"/>
        </w:rPr>
        <w:t>3.因乙方违反国家法律、法规的有关规定，被执法机关查处取消经营资格的，甲方有权单方解除本合同且不构成违约，若因此给甲方造成损失的，甲方有权追究乙方的一切责任及全部费用（包括且不限于直接、间接或预期损失和因索赔而支付的调查费、律师费、诉讼费、保全费、鉴定费、担保费、公证费、差旅费等全部合理支出）。</w:t>
      </w:r>
    </w:p>
    <w:p w14:paraId="4F002AE4">
      <w:pPr>
        <w:spacing w:before="156" w:beforeLines="50" w:after="156" w:afterLines="50" w:line="400" w:lineRule="exact"/>
        <w:ind w:firstLine="480" w:firstLineChars="200"/>
        <w:rPr>
          <w:rFonts w:hint="eastAsia" w:ascii="宋体" w:hAnsi="宋体" w:eastAsia="宋体" w:cs="宋体"/>
          <w:kern w:val="0"/>
          <w:sz w:val="24"/>
        </w:rPr>
      </w:pPr>
      <w:r>
        <w:rPr>
          <w:rFonts w:hint="eastAsia" w:ascii="宋体" w:hAnsi="宋体" w:eastAsia="宋体" w:cs="宋体"/>
          <w:kern w:val="0"/>
          <w:sz w:val="24"/>
        </w:rPr>
        <w:t>4.因乙方商品供应错误或未能通过甲方验收，乙方应在甲方指定限期内更换完毕。如乙方在甲方要求时间内无法更换时，则甲方有权解除本合同，不支付该笔货款并追究乙方违约责任（包括且不限于直接、间接或预期损失和因索赔而支付的调查费、律师费、诉讼费、保全费、鉴定费、担保费、公证费、差旅费等全部合理支出）。</w:t>
      </w:r>
    </w:p>
    <w:p w14:paraId="547A4ADD">
      <w:pPr>
        <w:keepNext/>
        <w:keepLines/>
        <w:spacing w:before="156" w:beforeLines="50" w:after="156" w:afterLines="50" w:line="400" w:lineRule="exact"/>
        <w:ind w:firstLine="482" w:firstLineChars="200"/>
        <w:outlineLvl w:val="1"/>
        <w:rPr>
          <w:rFonts w:hint="eastAsia" w:ascii="宋体" w:hAnsi="宋体" w:eastAsia="宋体" w:cs="宋体"/>
          <w:b/>
          <w:bCs/>
          <w:sz w:val="24"/>
        </w:rPr>
      </w:pPr>
      <w:bookmarkStart w:id="27" w:name="_Toc456174149"/>
      <w:r>
        <w:rPr>
          <w:rFonts w:hint="eastAsia" w:ascii="宋体" w:hAnsi="宋体" w:eastAsia="宋体" w:cs="宋体"/>
          <w:b/>
          <w:bCs/>
          <w:sz w:val="24"/>
        </w:rPr>
        <w:t>七、乙方权利义务</w:t>
      </w:r>
      <w:bookmarkEnd w:id="27"/>
    </w:p>
    <w:p w14:paraId="7296D88C">
      <w:pPr>
        <w:widowControl/>
        <w:spacing w:before="156" w:beforeLines="50" w:after="156" w:afterLines="50" w:line="400" w:lineRule="exact"/>
        <w:ind w:firstLine="480" w:firstLineChars="200"/>
        <w:rPr>
          <w:rFonts w:hint="eastAsia" w:ascii="宋体" w:hAnsi="宋体" w:eastAsia="宋体" w:cs="宋体"/>
          <w:kern w:val="0"/>
          <w:sz w:val="24"/>
        </w:rPr>
      </w:pPr>
      <w:r>
        <w:rPr>
          <w:rFonts w:hint="eastAsia" w:ascii="宋体" w:hAnsi="宋体" w:eastAsia="宋体" w:cs="宋体"/>
          <w:kern w:val="0"/>
          <w:sz w:val="24"/>
        </w:rPr>
        <w:t>1.乙方保证其向甲方交付的月饼符合《食品安全法》及实施条例，符合中国国家标准和食品行业标准的质量和技术要求以及安全要求等，包括但不限于中国国家食品安全标准、食品质量安全标准、食品卫生标准、食品质量标准和有关食品的行业标准、有关食品的地方标准，</w:t>
      </w:r>
      <w:r>
        <w:rPr>
          <w:rFonts w:hint="eastAsia" w:ascii="宋体" w:hAnsi="宋体" w:eastAsia="宋体" w:cs="宋体"/>
          <w:sz w:val="24"/>
        </w:rPr>
        <w:t>并对商品采取妥善、完好的符合国家和行业标准和规范、行业惯例及本合同约定的包装、标识、标签、说明、储藏及运输方式</w:t>
      </w:r>
      <w:r>
        <w:rPr>
          <w:rFonts w:hint="eastAsia" w:ascii="宋体" w:hAnsi="宋体" w:eastAsia="宋体" w:cs="宋体"/>
          <w:kern w:val="0"/>
          <w:sz w:val="24"/>
        </w:rPr>
        <w:t>。否则，应承担由此给甲方、第三方造成的损失，甲方因此垫付的费用，有权向乙方追偿。</w:t>
      </w:r>
    </w:p>
    <w:p w14:paraId="1FFE7204">
      <w:pPr>
        <w:widowControl/>
        <w:spacing w:before="156" w:beforeLines="50" w:after="156" w:afterLines="50" w:line="400" w:lineRule="exact"/>
        <w:ind w:firstLine="480" w:firstLineChars="200"/>
        <w:rPr>
          <w:rFonts w:hint="eastAsia" w:ascii="宋体" w:hAnsi="宋体" w:eastAsia="宋体" w:cs="宋体"/>
          <w:kern w:val="0"/>
          <w:sz w:val="24"/>
        </w:rPr>
      </w:pPr>
      <w:r>
        <w:rPr>
          <w:rFonts w:hint="eastAsia" w:ascii="宋体" w:hAnsi="宋体" w:eastAsia="宋体" w:cs="宋体"/>
          <w:kern w:val="0"/>
          <w:sz w:val="24"/>
        </w:rPr>
        <w:t>2.</w:t>
      </w:r>
      <w:r>
        <w:rPr>
          <w:rFonts w:hint="eastAsia" w:ascii="宋体" w:hAnsi="宋体" w:eastAsia="宋体" w:cs="宋体"/>
          <w:sz w:val="24"/>
        </w:rPr>
        <w:t>乙方保证向甲方提供的月饼保质期为</w:t>
      </w:r>
      <w:r>
        <w:rPr>
          <w:rFonts w:hint="eastAsia" w:ascii="宋体" w:hAnsi="宋体" w:eastAsia="宋体" w:cs="宋体"/>
          <w:sz w:val="24"/>
          <w:u w:val="single"/>
        </w:rPr>
        <w:t xml:space="preserve">  </w:t>
      </w:r>
      <w:r>
        <w:rPr>
          <w:rFonts w:hint="eastAsia" w:ascii="宋体" w:hAnsi="宋体" w:eastAsia="宋体" w:cs="宋体"/>
          <w:color w:val="FF0000"/>
          <w:sz w:val="24"/>
          <w:u w:val="single"/>
        </w:rPr>
        <w:t xml:space="preserve"> </w:t>
      </w:r>
      <w:r>
        <w:rPr>
          <w:rFonts w:hint="eastAsia" w:ascii="宋体" w:hAnsi="宋体" w:eastAsia="宋体" w:cs="宋体"/>
          <w:sz w:val="24"/>
        </w:rPr>
        <w:t>天，乙方保证所提供的月饼为最新制作的且自交付至甲方时保质期剩余期限不低于【</w:t>
      </w:r>
      <w:r>
        <w:rPr>
          <w:rFonts w:hint="eastAsia" w:ascii="宋体" w:hAnsi="宋体" w:eastAsia="宋体" w:cs="宋体"/>
          <w:color w:val="FF0000"/>
          <w:sz w:val="24"/>
        </w:rPr>
        <w:t xml:space="preserve">  </w:t>
      </w:r>
      <w:r>
        <w:rPr>
          <w:rFonts w:hint="eastAsia" w:ascii="宋体" w:hAnsi="宋体" w:eastAsia="宋体" w:cs="宋体"/>
          <w:sz w:val="24"/>
        </w:rPr>
        <w:t>】日，否则甲方有权拒收且甲方不承担违约责任。</w:t>
      </w:r>
    </w:p>
    <w:p w14:paraId="7F68C05E">
      <w:pPr>
        <w:widowControl/>
        <w:spacing w:before="156" w:beforeLines="50" w:after="156" w:afterLines="50" w:line="400" w:lineRule="exact"/>
        <w:ind w:firstLine="480" w:firstLineChars="200"/>
        <w:rPr>
          <w:rFonts w:hint="eastAsia" w:ascii="宋体" w:hAnsi="宋体" w:eastAsia="宋体" w:cs="宋体"/>
          <w:kern w:val="0"/>
          <w:sz w:val="24"/>
        </w:rPr>
      </w:pPr>
      <w:r>
        <w:rPr>
          <w:rFonts w:hint="eastAsia" w:ascii="宋体" w:hAnsi="宋体" w:eastAsia="宋体" w:cs="宋体"/>
          <w:kern w:val="0"/>
          <w:sz w:val="24"/>
        </w:rPr>
        <w:t>3.乙方有义务确保持有生产和/或在当地供应所提供商品所必需的资质和行政许可。乙方有义务确保所提供的商品经有资质的检验检疫机构检验检疫合格。对于甲方所在地政府部门有准用检查要求的商品，乙方保证已经通过当地政府部门的准用检查，并获得了当地颁发的准许使用证明。乙方有义务在交付商品同时向甲方提交加盖乙方公章的相关商品检验合格证明及甲方要求的认证书等证明材料复印件。</w:t>
      </w:r>
    </w:p>
    <w:p w14:paraId="70A8C9D6">
      <w:pPr>
        <w:widowControl/>
        <w:spacing w:before="156" w:beforeLines="50" w:after="156" w:afterLines="50" w:line="400" w:lineRule="exact"/>
        <w:ind w:firstLine="480" w:firstLineChars="200"/>
        <w:rPr>
          <w:rFonts w:hint="eastAsia" w:ascii="宋体" w:hAnsi="宋体" w:eastAsia="宋体" w:cs="宋体"/>
          <w:kern w:val="0"/>
          <w:sz w:val="24"/>
        </w:rPr>
      </w:pPr>
      <w:r>
        <w:rPr>
          <w:rFonts w:hint="eastAsia" w:ascii="宋体" w:hAnsi="宋体" w:eastAsia="宋体" w:cs="宋体"/>
          <w:kern w:val="0"/>
          <w:sz w:val="24"/>
        </w:rPr>
        <w:t>4.乙方有义务保证所提供月饼无国家或地区不合格抽检记录，生产所需的原材料来源可靠、月饼生产规范，无材料掺假、掺残次品等行为。</w:t>
      </w:r>
    </w:p>
    <w:p w14:paraId="165401F8">
      <w:pPr>
        <w:widowControl/>
        <w:spacing w:before="156" w:beforeLines="50" w:after="156" w:afterLines="50" w:line="400" w:lineRule="exact"/>
        <w:ind w:firstLine="480" w:firstLineChars="200"/>
        <w:rPr>
          <w:rFonts w:hint="eastAsia" w:ascii="宋体" w:hAnsi="宋体" w:eastAsia="宋体" w:cs="宋体"/>
          <w:kern w:val="0"/>
          <w:sz w:val="24"/>
        </w:rPr>
      </w:pPr>
      <w:r>
        <w:rPr>
          <w:rFonts w:hint="eastAsia" w:ascii="宋体" w:hAnsi="宋体" w:eastAsia="宋体" w:cs="宋体"/>
          <w:kern w:val="0"/>
          <w:sz w:val="24"/>
        </w:rPr>
        <w:t>5.乙方有义务在提供商品前，按照保证食品安全的要求贮存所提供的商品，且确保该等商品未经过危害食品安全的方式处理、运输或贮藏。</w:t>
      </w:r>
    </w:p>
    <w:p w14:paraId="2FDC37E0">
      <w:pPr>
        <w:widowControl/>
        <w:spacing w:before="156" w:beforeLines="50" w:after="156" w:afterLines="50" w:line="400" w:lineRule="exact"/>
        <w:ind w:firstLine="480" w:firstLineChars="200"/>
        <w:rPr>
          <w:rFonts w:hint="eastAsia" w:ascii="宋体" w:hAnsi="宋体" w:eastAsia="宋体" w:cs="宋体"/>
          <w:kern w:val="0"/>
          <w:sz w:val="24"/>
        </w:rPr>
      </w:pPr>
      <w:r>
        <w:rPr>
          <w:rFonts w:hint="eastAsia" w:ascii="宋体" w:hAnsi="宋体" w:eastAsia="宋体" w:cs="宋体"/>
          <w:kern w:val="0"/>
          <w:sz w:val="24"/>
        </w:rPr>
        <w:t>6.乙方应确保其生产经营人员及直接接触商品的其他人员均拥有从事食品行业必须的健康证明。</w:t>
      </w:r>
    </w:p>
    <w:p w14:paraId="2E58495E">
      <w:pPr>
        <w:widowControl/>
        <w:spacing w:before="156" w:beforeLines="50" w:after="156" w:afterLines="50" w:line="400" w:lineRule="exact"/>
        <w:ind w:firstLine="480" w:firstLineChars="200"/>
        <w:rPr>
          <w:rFonts w:hint="eastAsia" w:ascii="宋体" w:hAnsi="宋体" w:eastAsia="宋体" w:cs="宋体"/>
          <w:kern w:val="0"/>
          <w:sz w:val="24"/>
        </w:rPr>
      </w:pPr>
      <w:r>
        <w:rPr>
          <w:rFonts w:hint="eastAsia" w:ascii="宋体" w:hAnsi="宋体" w:eastAsia="宋体" w:cs="宋体"/>
          <w:kern w:val="0"/>
          <w:sz w:val="24"/>
        </w:rPr>
        <w:t>7.乙方应对所供应的月饼进行检查并提交验收。乙方保证交付月饼质量能一次性通过甲方验收。</w:t>
      </w:r>
    </w:p>
    <w:p w14:paraId="0C036F72">
      <w:pPr>
        <w:widowControl/>
        <w:spacing w:before="156" w:beforeLines="50" w:after="156" w:afterLines="50" w:line="400" w:lineRule="exact"/>
        <w:ind w:firstLine="480" w:firstLineChars="200"/>
        <w:rPr>
          <w:rFonts w:hint="eastAsia" w:ascii="宋体" w:hAnsi="宋体" w:eastAsia="宋体" w:cs="宋体"/>
          <w:kern w:val="0"/>
          <w:sz w:val="24"/>
        </w:rPr>
      </w:pPr>
      <w:r>
        <w:rPr>
          <w:rFonts w:hint="eastAsia" w:ascii="宋体" w:hAnsi="宋体" w:eastAsia="宋体" w:cs="宋体"/>
          <w:kern w:val="0"/>
          <w:sz w:val="24"/>
        </w:rPr>
        <w:t>8.乙方在未经甲方事先书面同意的前提下，不得将本合同或其中任何一部分转让或转包给任何第三方。即便经甲方认可，乙方仍需对该被认可的第三方履行本合同项下义务的行为及产生的任何责任对甲方承担连带保证责任。</w:t>
      </w:r>
    </w:p>
    <w:p w14:paraId="7AD72926">
      <w:pPr>
        <w:widowControl/>
        <w:spacing w:before="156" w:beforeLines="50" w:after="156" w:afterLines="50" w:line="400" w:lineRule="exact"/>
        <w:ind w:firstLine="480" w:firstLineChars="200"/>
        <w:rPr>
          <w:rFonts w:hint="eastAsia" w:ascii="宋体" w:hAnsi="宋体" w:eastAsia="宋体" w:cs="宋体"/>
          <w:kern w:val="0"/>
          <w:sz w:val="24"/>
        </w:rPr>
      </w:pPr>
      <w:r>
        <w:rPr>
          <w:rFonts w:hint="eastAsia" w:ascii="宋体" w:hAnsi="宋体" w:eastAsia="宋体" w:cs="宋体"/>
          <w:kern w:val="0"/>
          <w:sz w:val="24"/>
        </w:rPr>
        <w:t>9.乙方保证具备签订及履行本合同的资质和能力，如需办理相关政府审批手续，均由乙方自行办理并承担费用。</w:t>
      </w:r>
    </w:p>
    <w:p w14:paraId="2B52949C">
      <w:pPr>
        <w:widowControl/>
        <w:spacing w:before="156" w:beforeLines="50" w:after="156" w:afterLines="50" w:line="400" w:lineRule="exact"/>
        <w:ind w:firstLine="480" w:firstLineChars="200"/>
        <w:rPr>
          <w:rFonts w:hint="eastAsia" w:ascii="宋体" w:hAnsi="宋体" w:eastAsia="宋体" w:cs="宋体"/>
          <w:kern w:val="0"/>
          <w:sz w:val="24"/>
        </w:rPr>
      </w:pPr>
      <w:r>
        <w:rPr>
          <w:rFonts w:hint="eastAsia" w:ascii="宋体" w:hAnsi="宋体" w:eastAsia="宋体" w:cs="宋体"/>
          <w:kern w:val="0"/>
          <w:sz w:val="24"/>
        </w:rPr>
        <w:t>10.乙方应采取足够的安全保障措施，确保在本合同履行的各环节不会发生任何危及各方利益、安全等的行为。若乙方在合同履行过程中引起包括但不限于甲方、乙方或其他第三方及相关人员在内的任何人身、财产等损害，由乙方承担相关责任及赔偿全部损失。乙方应保证甲方不会因上述事故引发任何索赔，否则，乙方应赔偿甲方因此承担的一切损失。</w:t>
      </w:r>
    </w:p>
    <w:p w14:paraId="1A1BFD9D">
      <w:pPr>
        <w:widowControl/>
        <w:spacing w:before="156" w:beforeLines="50" w:after="156" w:afterLines="50" w:line="400" w:lineRule="exact"/>
        <w:ind w:firstLine="480" w:firstLineChars="200"/>
        <w:rPr>
          <w:rFonts w:hint="eastAsia" w:ascii="宋体" w:hAnsi="宋体" w:eastAsia="宋体" w:cs="宋体"/>
          <w:kern w:val="0"/>
          <w:sz w:val="24"/>
        </w:rPr>
      </w:pPr>
      <w:r>
        <w:rPr>
          <w:rFonts w:hint="eastAsia" w:ascii="宋体" w:hAnsi="宋体" w:eastAsia="宋体" w:cs="宋体"/>
          <w:sz w:val="24"/>
        </w:rPr>
        <w:t>11.乙方确认，无论乙方所供商品是否经甲方验收合格，均不免除乙方对其商品应承担的质量保证责任。如因商品质量问题或者其他非因甲方原因引起的第</w:t>
      </w:r>
      <w:r>
        <w:rPr>
          <w:rFonts w:hint="eastAsia" w:ascii="宋体" w:hAnsi="宋体" w:eastAsia="宋体" w:cs="宋体"/>
          <w:kern w:val="0"/>
          <w:sz w:val="24"/>
        </w:rPr>
        <w:t>三方提起的争议或纠纷，乙方应负责解决并承担一切责任和损失（包括且不限于直接、间接或预期损失和因索赔而支付的调查费、律师费、诉讼费、保全费、鉴定费、担保费、公证费、差旅费等全部合理支出）。</w:t>
      </w:r>
    </w:p>
    <w:p w14:paraId="3EDD3AD0">
      <w:pPr>
        <w:widowControl/>
        <w:spacing w:before="156" w:beforeLines="50" w:after="156" w:afterLines="50" w:line="400" w:lineRule="exact"/>
        <w:ind w:firstLine="480" w:firstLineChars="200"/>
        <w:rPr>
          <w:rFonts w:hint="eastAsia" w:ascii="宋体" w:hAnsi="宋体" w:eastAsia="宋体" w:cs="宋体"/>
          <w:kern w:val="0"/>
          <w:sz w:val="24"/>
        </w:rPr>
      </w:pPr>
      <w:r>
        <w:rPr>
          <w:rFonts w:hint="eastAsia" w:ascii="宋体" w:hAnsi="宋体" w:eastAsia="宋体" w:cs="宋体"/>
          <w:kern w:val="0"/>
          <w:sz w:val="24"/>
        </w:rPr>
        <w:t>12.若甲方或任何第三方在商品使用过程中遭受任何人身或财产的损失，乙方对此应承担一切赔偿责任。若甲方由于合法、正常使用乙方的商品而面临任何第三方的索赔、诉讼或其他权利主张，乙方应赔偿甲方由此所招致的一切开支（包括律师费、诉讼费、公告费、鉴定费、公证费、差旅费等一切费用），并赔偿甲方由于向该等第三方承担任何责任而招致的一切损失。</w:t>
      </w:r>
    </w:p>
    <w:p w14:paraId="4826220B">
      <w:pPr>
        <w:spacing w:before="156" w:beforeLines="50" w:after="156" w:afterLines="50" w:line="400" w:lineRule="exact"/>
        <w:ind w:firstLine="480" w:firstLineChars="200"/>
        <w:rPr>
          <w:rFonts w:hint="eastAsia" w:ascii="宋体" w:hAnsi="宋体" w:eastAsia="宋体" w:cs="宋体"/>
          <w:kern w:val="0"/>
          <w:sz w:val="24"/>
        </w:rPr>
      </w:pPr>
      <w:r>
        <w:rPr>
          <w:rFonts w:hint="eastAsia" w:ascii="宋体" w:hAnsi="宋体" w:eastAsia="宋体" w:cs="宋体"/>
          <w:kern w:val="0"/>
          <w:sz w:val="24"/>
        </w:rPr>
        <w:t>13.乙方应严格按照双方约定有关月饼到货批次及时间期限及时到货，因双方在执行本合同期间存在任何争议，不应作为乙方延迟、扣押送货的理由。如由此产生的延误而产生的甲方经营方面的损失，甲方有权要求乙方承担赔偿责任。</w:t>
      </w:r>
    </w:p>
    <w:p w14:paraId="79F4C9B9">
      <w:pPr>
        <w:keepNext/>
        <w:keepLines/>
        <w:spacing w:before="156" w:beforeLines="50" w:after="156" w:afterLines="50" w:line="400" w:lineRule="exact"/>
        <w:ind w:firstLine="482" w:firstLineChars="200"/>
        <w:outlineLvl w:val="1"/>
        <w:rPr>
          <w:rFonts w:hint="eastAsia" w:ascii="宋体" w:hAnsi="宋体" w:eastAsia="宋体" w:cs="宋体"/>
          <w:b/>
          <w:bCs/>
          <w:sz w:val="24"/>
        </w:rPr>
      </w:pPr>
      <w:bookmarkStart w:id="28" w:name="_Toc456174150"/>
      <w:r>
        <w:rPr>
          <w:rFonts w:hint="eastAsia" w:ascii="宋体" w:hAnsi="宋体" w:eastAsia="宋体" w:cs="宋体"/>
          <w:b/>
          <w:bCs/>
          <w:sz w:val="24"/>
        </w:rPr>
        <w:t>八、包装及运输</w:t>
      </w:r>
      <w:bookmarkEnd w:id="28"/>
    </w:p>
    <w:p w14:paraId="3EEBB438">
      <w:pPr>
        <w:widowControl/>
        <w:spacing w:before="156" w:beforeLines="50" w:after="156" w:afterLines="50" w:line="400" w:lineRule="exact"/>
        <w:ind w:firstLine="480" w:firstLineChars="200"/>
        <w:rPr>
          <w:rFonts w:hint="eastAsia" w:ascii="宋体" w:hAnsi="宋体" w:eastAsia="宋体" w:cs="宋体"/>
          <w:sz w:val="24"/>
        </w:rPr>
      </w:pPr>
      <w:r>
        <w:rPr>
          <w:rFonts w:hint="eastAsia" w:ascii="宋体" w:hAnsi="宋体" w:eastAsia="宋体" w:cs="宋体"/>
          <w:kern w:val="0"/>
          <w:sz w:val="24"/>
        </w:rPr>
        <w:t>1.乙方应提供符合国家标准、行业标准</w:t>
      </w:r>
      <w:r>
        <w:rPr>
          <w:rFonts w:hint="eastAsia" w:ascii="宋体" w:hAnsi="宋体" w:eastAsia="宋体" w:cs="宋体"/>
          <w:sz w:val="24"/>
        </w:rPr>
        <w:t>并根据商品的规格要求按适合于长途海运和陆运及多次搬运的要求坚固包装和装运商品，如防潮、防锈、防尘、防碎、防震及防霉等，以确保商品安全完好地抵达指定交货地点。由于包装不当造成货物在运输过程中有任何损坏或丢失，均由乙方负责。</w:t>
      </w:r>
      <w:r>
        <w:rPr>
          <w:rFonts w:hint="eastAsia" w:ascii="宋体" w:hAnsi="宋体" w:eastAsia="宋体" w:cs="宋体"/>
          <w:kern w:val="0"/>
          <w:sz w:val="24"/>
        </w:rPr>
        <w:t>运输及保险费用由乙方承担。</w:t>
      </w:r>
    </w:p>
    <w:p w14:paraId="736DA57A">
      <w:pPr>
        <w:widowControl/>
        <w:spacing w:before="156" w:beforeLines="50" w:after="156" w:afterLines="50" w:line="400" w:lineRule="exact"/>
        <w:ind w:firstLine="480" w:firstLineChars="200"/>
        <w:rPr>
          <w:rFonts w:hint="eastAsia" w:ascii="宋体" w:hAnsi="宋体" w:eastAsia="宋体" w:cs="宋体"/>
          <w:sz w:val="24"/>
        </w:rPr>
      </w:pPr>
      <w:r>
        <w:rPr>
          <w:rFonts w:hint="eastAsia" w:ascii="宋体" w:hAnsi="宋体" w:eastAsia="宋体" w:cs="宋体"/>
          <w:kern w:val="0"/>
          <w:sz w:val="24"/>
        </w:rPr>
        <w:t>2.在运输过程中及月饼交付甲方并经甲方验收合格前，毁损、灭失的风险由乙方承担。</w:t>
      </w:r>
    </w:p>
    <w:p w14:paraId="5072310E">
      <w:pPr>
        <w:widowControl/>
        <w:spacing w:before="156" w:beforeLines="50" w:after="156" w:afterLines="50" w:line="400" w:lineRule="exact"/>
        <w:ind w:firstLine="480" w:firstLineChars="200"/>
        <w:rPr>
          <w:rFonts w:hint="eastAsia" w:ascii="宋体" w:hAnsi="宋体" w:eastAsia="宋体" w:cs="宋体"/>
          <w:kern w:val="0"/>
          <w:sz w:val="24"/>
        </w:rPr>
      </w:pPr>
      <w:r>
        <w:rPr>
          <w:rFonts w:hint="eastAsia" w:ascii="宋体" w:hAnsi="宋体" w:eastAsia="宋体" w:cs="宋体"/>
          <w:kern w:val="0"/>
          <w:sz w:val="24"/>
        </w:rPr>
        <w:t>3.根据商品的不同属性，乙方应用不褪色的油漆以鲜明的中英文，在每件包装箱上印刷唛头、件号、毛净重、尺寸，并注明“小心轻放”“防潮向上”“保持干燥”、内包装生产日期等字样，以及其他运输标志。</w:t>
      </w:r>
    </w:p>
    <w:p w14:paraId="47D0CA1D">
      <w:pPr>
        <w:keepNext/>
        <w:keepLines/>
        <w:spacing w:before="156" w:beforeLines="50" w:after="156" w:afterLines="50" w:line="400" w:lineRule="exact"/>
        <w:ind w:firstLine="482" w:firstLineChars="200"/>
        <w:outlineLvl w:val="1"/>
        <w:rPr>
          <w:rFonts w:hint="eastAsia" w:ascii="宋体" w:hAnsi="宋体" w:eastAsia="宋体" w:cs="宋体"/>
          <w:b/>
          <w:bCs/>
          <w:sz w:val="24"/>
        </w:rPr>
      </w:pPr>
      <w:bookmarkStart w:id="29" w:name="_Toc456174151"/>
      <w:r>
        <w:rPr>
          <w:rFonts w:hint="eastAsia" w:ascii="宋体" w:hAnsi="宋体" w:eastAsia="宋体" w:cs="宋体"/>
          <w:b/>
          <w:bCs/>
          <w:sz w:val="24"/>
        </w:rPr>
        <w:t>九、月饼验收</w:t>
      </w:r>
      <w:bookmarkEnd w:id="29"/>
    </w:p>
    <w:p w14:paraId="2FE6A72F">
      <w:pPr>
        <w:widowControl/>
        <w:spacing w:before="156" w:beforeLines="50" w:after="156" w:afterLines="50" w:line="400" w:lineRule="exact"/>
        <w:ind w:firstLine="480" w:firstLineChars="200"/>
        <w:rPr>
          <w:rFonts w:hint="eastAsia" w:ascii="宋体" w:hAnsi="宋体" w:eastAsia="宋体" w:cs="宋体"/>
          <w:kern w:val="0"/>
          <w:sz w:val="24"/>
        </w:rPr>
      </w:pPr>
      <w:r>
        <w:rPr>
          <w:rFonts w:hint="eastAsia" w:ascii="宋体" w:hAnsi="宋体" w:eastAsia="宋体" w:cs="宋体"/>
          <w:kern w:val="0"/>
          <w:sz w:val="24"/>
        </w:rPr>
        <w:t>1.乙方承诺按照本合同约定的时间将甲方所采购的月饼送到甲方指定的交货地点。乙方将月饼送至甲方指定交货地点后，甲、乙双方共同对月饼品牌（如有）、名称、规格（型号）、数量、包装、质量、保质期、</w:t>
      </w:r>
      <w:r>
        <w:rPr>
          <w:rFonts w:hint="eastAsia" w:ascii="宋体" w:hAnsi="宋体" w:eastAsia="宋体" w:cs="宋体"/>
          <w:sz w:val="24"/>
        </w:rPr>
        <w:t>商品合格证、出厂报告、检测报告</w:t>
      </w:r>
      <w:r>
        <w:rPr>
          <w:rFonts w:hint="eastAsia" w:ascii="宋体" w:hAnsi="宋体" w:eastAsia="宋体" w:cs="宋体"/>
          <w:kern w:val="0"/>
          <w:sz w:val="24"/>
        </w:rPr>
        <w:t>等进行验收。</w:t>
      </w:r>
    </w:p>
    <w:p w14:paraId="3EA87816">
      <w:pPr>
        <w:widowControl/>
        <w:spacing w:before="156" w:beforeLines="50" w:after="156" w:afterLines="50" w:line="400" w:lineRule="exact"/>
        <w:ind w:firstLine="480" w:firstLineChars="200"/>
        <w:rPr>
          <w:rFonts w:hint="eastAsia" w:ascii="宋体" w:hAnsi="宋体" w:eastAsia="宋体" w:cs="宋体"/>
          <w:kern w:val="0"/>
          <w:sz w:val="24"/>
        </w:rPr>
      </w:pPr>
      <w:r>
        <w:rPr>
          <w:rFonts w:hint="eastAsia" w:ascii="宋体" w:hAnsi="宋体" w:eastAsia="宋体" w:cs="宋体"/>
          <w:kern w:val="0"/>
          <w:sz w:val="24"/>
        </w:rPr>
        <w:t>2.甲方在月饼验收过程中，发现月饼的品牌、名称、规格、型号、数量、包装、质量、保质期等与甲方要求不符或者月饼外包装或内容物有破损或</w:t>
      </w:r>
      <w:r>
        <w:rPr>
          <w:rFonts w:hint="eastAsia" w:ascii="宋体" w:hAnsi="宋体" w:eastAsia="宋体" w:cs="宋体"/>
          <w:sz w:val="24"/>
        </w:rPr>
        <w:t>商品合格证、出厂报告、检测报告等相关资料不齐全的</w:t>
      </w:r>
      <w:r>
        <w:rPr>
          <w:rFonts w:hint="eastAsia" w:ascii="宋体" w:hAnsi="宋体" w:eastAsia="宋体" w:cs="宋体"/>
          <w:kern w:val="0"/>
          <w:sz w:val="24"/>
        </w:rPr>
        <w:t>，甲方有权拒绝收货并有权要求乙方立即按照本合同约定的包装规格重新送货。重新送货的运输、装卸费用等由乙方承担。重新送货并不免除乙方根据本合同约定时间完成送货的义务。</w:t>
      </w:r>
    </w:p>
    <w:p w14:paraId="6013BECE">
      <w:pPr>
        <w:widowControl/>
        <w:spacing w:before="156" w:beforeLines="50" w:after="156" w:afterLines="50" w:line="400" w:lineRule="exact"/>
        <w:ind w:firstLine="480" w:firstLineChars="200"/>
        <w:rPr>
          <w:rFonts w:hint="eastAsia" w:ascii="宋体" w:hAnsi="宋体" w:eastAsia="宋体" w:cs="宋体"/>
          <w:kern w:val="0"/>
          <w:sz w:val="24"/>
        </w:rPr>
      </w:pPr>
      <w:r>
        <w:rPr>
          <w:rFonts w:hint="eastAsia" w:ascii="宋体" w:hAnsi="宋体" w:eastAsia="宋体" w:cs="宋体"/>
          <w:kern w:val="0"/>
          <w:sz w:val="24"/>
        </w:rPr>
        <w:t>3.甲方对月饼验收合格后，应在送货单上签署确认。对月饼存在的隐蔽缺陷或在验收过程中不易发现的问题（如破损变质等），甲方在送货单上的签署确认，不被视为甲方对上述缺陷和问题的验收合格的确认。出现上述缺陷或问题，乙方仍应按甲方要求提供退换货服务。</w:t>
      </w:r>
    </w:p>
    <w:p w14:paraId="708BC45E">
      <w:pPr>
        <w:keepNext/>
        <w:keepLines/>
        <w:spacing w:before="156" w:beforeLines="50" w:after="156" w:afterLines="50" w:line="400" w:lineRule="exact"/>
        <w:ind w:firstLine="482" w:firstLineChars="200"/>
        <w:outlineLvl w:val="1"/>
        <w:rPr>
          <w:rFonts w:hint="eastAsia" w:ascii="宋体" w:hAnsi="宋体" w:eastAsia="宋体" w:cs="宋体"/>
          <w:b/>
          <w:bCs/>
          <w:sz w:val="24"/>
        </w:rPr>
      </w:pPr>
      <w:bookmarkStart w:id="30" w:name="_Toc456174152"/>
      <w:r>
        <w:rPr>
          <w:rFonts w:hint="eastAsia" w:ascii="宋体" w:hAnsi="宋体" w:eastAsia="宋体" w:cs="宋体"/>
          <w:b/>
          <w:bCs/>
          <w:sz w:val="24"/>
        </w:rPr>
        <w:t>十、保密条款</w:t>
      </w:r>
      <w:bookmarkEnd w:id="30"/>
    </w:p>
    <w:p w14:paraId="3CF93AB1">
      <w:pPr>
        <w:widowControl/>
        <w:spacing w:before="156" w:beforeLines="50" w:after="156" w:afterLines="50" w:line="400" w:lineRule="exact"/>
        <w:ind w:firstLine="480" w:firstLineChars="200"/>
        <w:rPr>
          <w:rFonts w:hint="eastAsia" w:ascii="宋体" w:hAnsi="宋体" w:eastAsia="宋体" w:cs="宋体"/>
          <w:kern w:val="0"/>
          <w:sz w:val="24"/>
        </w:rPr>
      </w:pPr>
      <w:r>
        <w:rPr>
          <w:rFonts w:hint="eastAsia" w:ascii="宋体" w:hAnsi="宋体" w:eastAsia="宋体" w:cs="宋体"/>
          <w:kern w:val="0"/>
          <w:sz w:val="24"/>
        </w:rPr>
        <w:t>1.乙方对在履行本合同过程中获知的甲方的一切非公开信息资料，均负有严格保密义务，未经甲方书面许可不得以任何方式向任何第三方透露或擅自利用。</w:t>
      </w:r>
    </w:p>
    <w:p w14:paraId="404D6B8C">
      <w:pPr>
        <w:widowControl/>
        <w:snapToGrid w:val="0"/>
        <w:spacing w:before="156" w:beforeLines="50" w:after="156" w:afterLines="50" w:line="400" w:lineRule="exact"/>
        <w:ind w:firstLine="480" w:firstLineChars="200"/>
        <w:rPr>
          <w:rFonts w:hint="eastAsia" w:ascii="宋体" w:hAnsi="宋体" w:eastAsia="宋体" w:cs="宋体"/>
          <w:kern w:val="0"/>
          <w:sz w:val="24"/>
        </w:rPr>
      </w:pPr>
      <w:r>
        <w:rPr>
          <w:rFonts w:hint="eastAsia" w:ascii="宋体" w:hAnsi="宋体" w:eastAsia="宋体" w:cs="宋体"/>
          <w:kern w:val="0"/>
          <w:sz w:val="24"/>
        </w:rPr>
        <w:t xml:space="preserve">2.乙方应采取必要措施，保证其雇员遵守并执行本合同约定的保密义务。前述保密条款不受本合同有效期限的限制，在本合同期满、解除、终止后仍然具有法律约束力。 </w:t>
      </w:r>
    </w:p>
    <w:p w14:paraId="7523AC21">
      <w:pPr>
        <w:keepNext/>
        <w:keepLines/>
        <w:spacing w:before="156" w:beforeLines="50" w:after="156" w:afterLines="50" w:line="400" w:lineRule="exact"/>
        <w:ind w:firstLine="482" w:firstLineChars="200"/>
        <w:outlineLvl w:val="1"/>
        <w:rPr>
          <w:rFonts w:hint="eastAsia" w:ascii="宋体" w:hAnsi="宋体" w:eastAsia="宋体" w:cs="宋体"/>
          <w:b/>
          <w:bCs/>
          <w:sz w:val="24"/>
        </w:rPr>
      </w:pPr>
      <w:bookmarkStart w:id="31" w:name="_Toc456174153"/>
      <w:r>
        <w:rPr>
          <w:rFonts w:hint="eastAsia" w:ascii="宋体" w:hAnsi="宋体" w:eastAsia="宋体" w:cs="宋体"/>
          <w:b/>
          <w:bCs/>
          <w:sz w:val="24"/>
        </w:rPr>
        <w:t>十一、违约责任</w:t>
      </w:r>
      <w:bookmarkEnd w:id="31"/>
    </w:p>
    <w:p w14:paraId="748F58C2">
      <w:pPr>
        <w:widowControl/>
        <w:snapToGrid w:val="0"/>
        <w:spacing w:before="156" w:beforeLines="50" w:after="156" w:afterLines="50" w:line="400" w:lineRule="exact"/>
        <w:ind w:firstLine="480" w:firstLineChars="200"/>
        <w:rPr>
          <w:rFonts w:hint="eastAsia" w:ascii="宋体" w:hAnsi="宋体" w:eastAsia="宋体" w:cs="宋体"/>
          <w:kern w:val="0"/>
          <w:sz w:val="24"/>
        </w:rPr>
      </w:pPr>
      <w:r>
        <w:rPr>
          <w:rFonts w:hint="eastAsia" w:ascii="宋体" w:hAnsi="宋体" w:eastAsia="宋体" w:cs="宋体"/>
          <w:kern w:val="0"/>
          <w:sz w:val="24"/>
        </w:rPr>
        <w:t>1.本合同生效后即具有法律约束力，甲、乙双方应当认真履行本合同约定的义务、责任和保证等，乙方不得擅自变更或者解除本合同。</w:t>
      </w:r>
    </w:p>
    <w:p w14:paraId="3A4D0489">
      <w:pPr>
        <w:widowControl/>
        <w:spacing w:before="156" w:beforeLines="50" w:after="156" w:afterLines="50" w:line="400" w:lineRule="exact"/>
        <w:ind w:firstLine="480" w:firstLineChars="200"/>
        <w:rPr>
          <w:rFonts w:hint="eastAsia" w:ascii="宋体" w:hAnsi="宋体" w:eastAsia="宋体" w:cs="宋体"/>
          <w:kern w:val="0"/>
          <w:sz w:val="24"/>
        </w:rPr>
      </w:pPr>
      <w:r>
        <w:rPr>
          <w:rFonts w:hint="eastAsia" w:ascii="宋体" w:hAnsi="宋体" w:eastAsia="宋体" w:cs="宋体"/>
          <w:kern w:val="0"/>
          <w:sz w:val="24"/>
        </w:rPr>
        <w:t>2.合同生效后，乙方保证在约定的交货日内按合同甲方指定时间指定交货地点交货。追加订单交货时间由甲乙双方协商确定。如逾期交货，应自逾期次日起，乙方按未提供产品总价值每日万分之五的比率向甲方支付违约金, 违约金最高不超过合同总金额的30%。违约期计算时应扣除因不可抗力导致的延误时间。在约定交货期限后逾期十日的，视为乙方根本违约，甲方有权解除本合同，甲方无须向乙方支付剩余货款，且甲方有权要求乙方另行向甲方支付合同总金额30%的违约金；如因此给甲方造成损失的，乙方还应承担因此给甲方造成的经济损失和其他损失（包括但不限于乙方因此支付的维权费用、对第三人的违约责任等），以及乙方还应承担甲方为实现本合同目的，另行寻找第三人履行所支出的费用，含甲方应支付第三人所付的对价。</w:t>
      </w:r>
    </w:p>
    <w:p w14:paraId="37B3D190">
      <w:pPr>
        <w:widowControl/>
        <w:spacing w:before="156" w:beforeLines="50" w:after="156" w:afterLines="50" w:line="400" w:lineRule="exact"/>
        <w:ind w:firstLine="480" w:firstLineChars="200"/>
        <w:rPr>
          <w:rFonts w:hint="eastAsia" w:ascii="宋体" w:hAnsi="宋体" w:eastAsia="宋体" w:cs="宋体"/>
          <w:kern w:val="0"/>
          <w:sz w:val="24"/>
        </w:rPr>
      </w:pPr>
      <w:r>
        <w:rPr>
          <w:rFonts w:hint="eastAsia" w:ascii="宋体" w:hAnsi="宋体" w:eastAsia="宋体" w:cs="宋体"/>
          <w:kern w:val="0"/>
          <w:sz w:val="24"/>
        </w:rPr>
        <w:t>3.如甲方未按合同约定时间支付合同款项，应自款项最后应付之日起，每日向乙方偿付逾期付款金额的万分之五的比率作为违约金，违约金最高不超过合同总金额的10%。违约期计算时应扣除因不可抗力导致的延误时间。</w:t>
      </w:r>
    </w:p>
    <w:p w14:paraId="087B5A55">
      <w:pPr>
        <w:widowControl/>
        <w:spacing w:before="156" w:beforeLines="50" w:after="156" w:afterLines="50" w:line="400" w:lineRule="exact"/>
        <w:ind w:firstLine="480" w:firstLineChars="200"/>
        <w:rPr>
          <w:rFonts w:hint="eastAsia" w:ascii="宋体" w:hAnsi="宋体" w:eastAsia="宋体" w:cs="宋体"/>
          <w:kern w:val="0"/>
          <w:sz w:val="24"/>
        </w:rPr>
      </w:pPr>
      <w:r>
        <w:rPr>
          <w:rFonts w:hint="eastAsia" w:ascii="宋体" w:hAnsi="宋体" w:eastAsia="宋体" w:cs="宋体"/>
          <w:kern w:val="0"/>
          <w:sz w:val="24"/>
        </w:rPr>
        <w:t>4.甲方有权在应付乙方的商品价款或履约保证金或履约保函中直接扣除乙方应承担的违约金或任何应向甲方支付的赔偿金等。商品价款及履约保证金或履约保函不足抵扣的，甲方有权就不足部分继续向乙方追偿。</w:t>
      </w:r>
    </w:p>
    <w:p w14:paraId="7F451A42">
      <w:pPr>
        <w:widowControl/>
        <w:spacing w:before="156" w:beforeLines="50" w:after="156" w:afterLines="50" w:line="400" w:lineRule="exact"/>
        <w:ind w:firstLine="480" w:firstLineChars="200"/>
        <w:rPr>
          <w:rFonts w:hint="eastAsia" w:ascii="宋体" w:hAnsi="宋体" w:eastAsia="宋体" w:cs="宋体"/>
          <w:kern w:val="0"/>
          <w:sz w:val="24"/>
        </w:rPr>
      </w:pPr>
      <w:r>
        <w:rPr>
          <w:rFonts w:hint="eastAsia" w:ascii="宋体" w:hAnsi="宋体" w:eastAsia="宋体" w:cs="宋体"/>
          <w:kern w:val="0"/>
          <w:sz w:val="24"/>
        </w:rPr>
        <w:t>5.如乙方违反本合同项下的任何约定或由于乙方所提供月饼问题导致甲方面临任何第三方（包括行政机关）的索赔、处罚或其他权利主张，乙方应赔偿甲方由此所招致的一切成本和支出（包括但不限于诉讼费、公告费、律师费、保全费、差旅费、公证费等）以及甲方由此向第三方（包括行政机关）所承担的一切赔偿、罚款或其他任何责任。</w:t>
      </w:r>
    </w:p>
    <w:p w14:paraId="190D5CB3">
      <w:pPr>
        <w:widowControl/>
        <w:spacing w:before="156" w:beforeLines="50" w:after="156" w:afterLines="50" w:line="400" w:lineRule="exact"/>
        <w:ind w:firstLine="480" w:firstLineChars="200"/>
        <w:rPr>
          <w:rFonts w:hint="eastAsia" w:ascii="宋体" w:hAnsi="宋体" w:eastAsia="宋体" w:cs="宋体"/>
          <w:kern w:val="0"/>
          <w:sz w:val="24"/>
        </w:rPr>
      </w:pPr>
      <w:r>
        <w:rPr>
          <w:rFonts w:hint="eastAsia" w:ascii="宋体" w:hAnsi="宋体" w:eastAsia="宋体" w:cs="宋体"/>
          <w:kern w:val="0"/>
          <w:sz w:val="24"/>
        </w:rPr>
        <w:t>6.如因乙方逾期交付商品、交付的商品不符合甲方要求、未按照合同约定履行退换货的义务，均视为乙方逾期交货，导致甲方营销节点延误的损失或其他甲方损失，乙方应向甲方承担赔偿责任。</w:t>
      </w:r>
    </w:p>
    <w:p w14:paraId="30AA0948">
      <w:pPr>
        <w:widowControl/>
        <w:spacing w:before="156" w:beforeLines="50" w:after="156" w:afterLines="50" w:line="400" w:lineRule="exact"/>
        <w:ind w:firstLine="480" w:firstLineChars="200"/>
        <w:rPr>
          <w:rFonts w:hint="eastAsia" w:ascii="宋体" w:hAnsi="宋体" w:eastAsia="宋体" w:cs="宋体"/>
          <w:kern w:val="0"/>
          <w:sz w:val="24"/>
        </w:rPr>
      </w:pPr>
      <w:r>
        <w:rPr>
          <w:rFonts w:hint="eastAsia" w:ascii="宋体" w:hAnsi="宋体" w:eastAsia="宋体" w:cs="宋体"/>
          <w:kern w:val="0"/>
          <w:sz w:val="24"/>
        </w:rPr>
        <w:t>7.如乙方在运输、卸货、搬运、交货中造成甲方、乙方、第三方人员人身及财产损失的，由乙方自行承担赔偿责任，甲方不承担任何责任。若因此导致甲方被追责的，甲方有权就赔偿数额及处理赔偿事宜产生的所有费用（包括但不限于诉讼费、公告费、律师费、保全费、差旅费、公证费等）向乙方全额追偿。</w:t>
      </w:r>
    </w:p>
    <w:p w14:paraId="0632E939">
      <w:pPr>
        <w:pStyle w:val="7"/>
        <w:ind w:left="0" w:leftChars="0" w:firstLine="480"/>
        <w:rPr>
          <w:rFonts w:hint="eastAsia" w:ascii="宋体" w:hAnsi="宋体" w:cs="宋体"/>
          <w:sz w:val="24"/>
          <w:szCs w:val="24"/>
        </w:rPr>
      </w:pPr>
      <w:r>
        <w:rPr>
          <w:rFonts w:hint="eastAsia" w:ascii="宋体" w:hAnsi="宋体" w:cs="宋体"/>
          <w:kern w:val="0"/>
          <w:sz w:val="24"/>
          <w:szCs w:val="24"/>
        </w:rPr>
        <w:t>8.因乙方原因导致本合同中甲方无法自公开渠道的文件及资料（包括但不限于商业秘密、公司计划、运营活动、财务信息、技术信息、经营信息及其他商业秘密）以任一形式向第三方公开或泄露的，乙方应承担未履行保密条款而导致甲方的一切损失及全部费用（包括但不限于甲方向第三方支付的赔偿费用及甲方的维权费用等）。</w:t>
      </w:r>
    </w:p>
    <w:p w14:paraId="6A29EFEB">
      <w:pPr>
        <w:pStyle w:val="7"/>
        <w:ind w:left="440" w:firstLine="480"/>
        <w:rPr>
          <w:rFonts w:hint="eastAsia" w:ascii="宋体" w:hAnsi="宋体" w:cs="宋体"/>
          <w:sz w:val="24"/>
          <w:szCs w:val="24"/>
        </w:rPr>
      </w:pPr>
    </w:p>
    <w:p w14:paraId="65E5FDC2">
      <w:pPr>
        <w:keepNext/>
        <w:keepLines/>
        <w:spacing w:before="156" w:beforeLines="50" w:after="156" w:afterLines="50" w:line="400" w:lineRule="exact"/>
        <w:ind w:firstLine="482" w:firstLineChars="200"/>
        <w:outlineLvl w:val="1"/>
        <w:rPr>
          <w:rFonts w:hint="eastAsia" w:ascii="宋体" w:hAnsi="宋体" w:eastAsia="宋体" w:cs="宋体"/>
          <w:b/>
          <w:bCs/>
          <w:sz w:val="24"/>
        </w:rPr>
      </w:pPr>
      <w:bookmarkStart w:id="32" w:name="_Toc456174154"/>
      <w:r>
        <w:rPr>
          <w:rFonts w:hint="eastAsia" w:ascii="宋体" w:hAnsi="宋体" w:eastAsia="宋体" w:cs="宋体"/>
          <w:b/>
          <w:bCs/>
          <w:sz w:val="24"/>
        </w:rPr>
        <w:t>十二、争议解决方式</w:t>
      </w:r>
      <w:bookmarkEnd w:id="32"/>
      <w:r>
        <w:rPr>
          <w:rFonts w:hint="eastAsia" w:ascii="宋体" w:hAnsi="宋体" w:eastAsia="宋体" w:cs="宋体"/>
          <w:b/>
          <w:bCs/>
          <w:sz w:val="24"/>
        </w:rPr>
        <w:t xml:space="preserve"> </w:t>
      </w:r>
    </w:p>
    <w:p w14:paraId="4344F130">
      <w:pPr>
        <w:widowControl/>
        <w:spacing w:line="360" w:lineRule="auto"/>
        <w:ind w:firstLine="480" w:firstLineChars="200"/>
        <w:rPr>
          <w:rFonts w:hint="eastAsia" w:ascii="宋体" w:hAnsi="宋体" w:eastAsia="宋体" w:cs="宋体"/>
          <w:snapToGrid w:val="0"/>
          <w:sz w:val="24"/>
        </w:rPr>
      </w:pPr>
      <w:r>
        <w:rPr>
          <w:rFonts w:hint="eastAsia" w:ascii="宋体" w:hAnsi="宋体" w:eastAsia="宋体" w:cs="宋体"/>
          <w:kern w:val="0"/>
          <w:sz w:val="24"/>
        </w:rPr>
        <w:t>本合同签订和履行过程中产生的任何争议，双方应友好协商解决。协商不成</w:t>
      </w:r>
      <w:bookmarkStart w:id="33" w:name="_Toc456174156"/>
      <w:r>
        <w:rPr>
          <w:rFonts w:hint="eastAsia" w:ascii="宋体" w:hAnsi="宋体" w:eastAsia="宋体" w:cs="宋体"/>
          <w:kern w:val="0"/>
          <w:sz w:val="24"/>
        </w:rPr>
        <w:t>的，任何一方均有权向</w:t>
      </w:r>
      <w:r>
        <w:rPr>
          <w:rFonts w:hint="eastAsia" w:ascii="宋体" w:hAnsi="宋体" w:eastAsia="宋体" w:cs="宋体"/>
          <w:snapToGrid w:val="0"/>
          <w:sz w:val="24"/>
        </w:rPr>
        <w:t>甲方所在地有管辖权的法院起诉。</w:t>
      </w:r>
    </w:p>
    <w:p w14:paraId="46E5A5FD">
      <w:pPr>
        <w:widowControl/>
        <w:spacing w:line="360" w:lineRule="auto"/>
        <w:ind w:firstLine="480" w:firstLineChars="200"/>
        <w:rPr>
          <w:rFonts w:hint="eastAsia" w:ascii="宋体" w:hAnsi="宋体" w:eastAsia="宋体" w:cs="宋体"/>
          <w:snapToGrid w:val="0"/>
          <w:sz w:val="24"/>
        </w:rPr>
      </w:pPr>
    </w:p>
    <w:p w14:paraId="731DB5CC">
      <w:pPr>
        <w:keepNext/>
        <w:keepLines/>
        <w:spacing w:before="156" w:beforeLines="50" w:after="156" w:afterLines="50" w:line="400" w:lineRule="exact"/>
        <w:ind w:firstLine="482" w:firstLineChars="200"/>
        <w:outlineLvl w:val="1"/>
        <w:rPr>
          <w:rFonts w:hint="eastAsia" w:ascii="宋体" w:hAnsi="宋体" w:eastAsia="宋体" w:cs="宋体"/>
          <w:b/>
          <w:bCs/>
          <w:sz w:val="24"/>
        </w:rPr>
      </w:pPr>
      <w:r>
        <w:rPr>
          <w:rFonts w:hint="eastAsia" w:ascii="宋体" w:hAnsi="宋体" w:eastAsia="宋体" w:cs="宋体"/>
          <w:b/>
          <w:bCs/>
          <w:sz w:val="24"/>
        </w:rPr>
        <w:t>十三、其他约定</w:t>
      </w:r>
    </w:p>
    <w:bookmarkEnd w:id="33"/>
    <w:p w14:paraId="55D4399C">
      <w:pPr>
        <w:widowControl/>
        <w:spacing w:before="156" w:beforeLines="50" w:after="156" w:afterLines="50" w:line="400" w:lineRule="exact"/>
        <w:ind w:firstLine="480" w:firstLineChars="200"/>
        <w:rPr>
          <w:rFonts w:hint="eastAsia" w:ascii="宋体" w:hAnsi="宋体" w:eastAsia="宋体" w:cs="宋体"/>
          <w:kern w:val="0"/>
          <w:sz w:val="24"/>
        </w:rPr>
      </w:pPr>
      <w:r>
        <w:rPr>
          <w:rFonts w:hint="eastAsia" w:ascii="宋体" w:hAnsi="宋体" w:eastAsia="宋体" w:cs="宋体"/>
          <w:kern w:val="0"/>
          <w:sz w:val="24"/>
        </w:rPr>
        <w:t>1.本合同有效期为：自本合同生效之日起至双方按本合同约定履行完毕之日止。</w:t>
      </w:r>
    </w:p>
    <w:p w14:paraId="49B30218">
      <w:pPr>
        <w:widowControl/>
        <w:spacing w:before="156" w:beforeLines="50" w:after="156" w:afterLines="50" w:line="400" w:lineRule="exact"/>
        <w:ind w:firstLine="480" w:firstLineChars="200"/>
        <w:rPr>
          <w:rFonts w:hint="eastAsia" w:ascii="宋体" w:hAnsi="宋体" w:eastAsia="宋体" w:cs="宋体"/>
          <w:kern w:val="0"/>
          <w:sz w:val="24"/>
        </w:rPr>
      </w:pPr>
      <w:r>
        <w:rPr>
          <w:rFonts w:hint="eastAsia" w:ascii="宋体" w:hAnsi="宋体" w:eastAsia="宋体" w:cs="宋体"/>
          <w:kern w:val="0"/>
          <w:sz w:val="24"/>
        </w:rPr>
        <w:t>2.本合同附件《</w:t>
      </w:r>
      <w:r>
        <w:rPr>
          <w:rFonts w:hint="eastAsia" w:ascii="宋体" w:hAnsi="宋体" w:eastAsia="宋体" w:cs="宋体"/>
          <w:kern w:val="0"/>
          <w:sz w:val="24"/>
          <w:highlight w:val="yellow"/>
        </w:rPr>
        <w:t>2026年中秋月饼采购项目之礼盒包装组装三方补充协议</w:t>
      </w:r>
      <w:r>
        <w:rPr>
          <w:rFonts w:hint="eastAsia" w:ascii="宋体" w:hAnsi="宋体" w:eastAsia="宋体" w:cs="宋体"/>
          <w:kern w:val="0"/>
          <w:sz w:val="24"/>
        </w:rPr>
        <w:t>》为本合同不可分割的组成部分，与本合同具有同等法律效力。</w:t>
      </w:r>
    </w:p>
    <w:p w14:paraId="73642630">
      <w:pPr>
        <w:widowControl/>
        <w:spacing w:before="156" w:beforeLines="50" w:after="156" w:afterLines="50" w:line="400" w:lineRule="exact"/>
        <w:ind w:firstLine="480" w:firstLineChars="200"/>
        <w:rPr>
          <w:rFonts w:hint="eastAsia" w:ascii="宋体" w:hAnsi="宋体" w:eastAsia="宋体" w:cs="宋体"/>
          <w:kern w:val="0"/>
          <w:sz w:val="24"/>
        </w:rPr>
      </w:pPr>
      <w:r>
        <w:rPr>
          <w:rFonts w:hint="eastAsia" w:ascii="宋体" w:hAnsi="宋体" w:eastAsia="宋体" w:cs="宋体"/>
          <w:kern w:val="0"/>
          <w:sz w:val="24"/>
        </w:rPr>
        <w:t>3.本合同其他未尽事宜，由甲、乙双方协商一致后签订补充协议，补充协议经双方正式签署盖章后与本合同具有同等法律效力。</w:t>
      </w:r>
    </w:p>
    <w:p w14:paraId="6419E69D">
      <w:pPr>
        <w:widowControl/>
        <w:spacing w:before="156" w:beforeLines="50" w:after="156" w:afterLines="50" w:line="400" w:lineRule="exact"/>
        <w:ind w:firstLine="480" w:firstLineChars="200"/>
        <w:rPr>
          <w:rFonts w:hint="eastAsia" w:ascii="宋体" w:hAnsi="宋体" w:eastAsia="宋体" w:cs="宋体"/>
          <w:kern w:val="0"/>
          <w:sz w:val="24"/>
        </w:rPr>
      </w:pPr>
      <w:r>
        <w:rPr>
          <w:rFonts w:hint="eastAsia" w:ascii="宋体" w:hAnsi="宋体" w:eastAsia="宋体" w:cs="宋体"/>
          <w:kern w:val="0"/>
          <w:sz w:val="24"/>
        </w:rPr>
        <w:t>4.本合同自双方签字并加盖公章或合同专用章之日起生效。本合同一式贰份，甲乙双方各执壹份，均具有同等法律效力。</w:t>
      </w:r>
    </w:p>
    <w:p w14:paraId="4599CE94">
      <w:pPr>
        <w:spacing w:line="360" w:lineRule="auto"/>
        <w:ind w:firstLine="480" w:firstLineChars="200"/>
        <w:rPr>
          <w:rFonts w:hint="eastAsia" w:ascii="宋体" w:hAnsi="宋体" w:eastAsia="宋体" w:cs="宋体"/>
          <w:sz w:val="24"/>
        </w:rPr>
      </w:pPr>
      <w:bookmarkStart w:id="34" w:name="OLE_LINK3"/>
    </w:p>
    <w:p w14:paraId="3896E5B3">
      <w:pPr>
        <w:spacing w:line="360" w:lineRule="auto"/>
        <w:ind w:firstLine="480" w:firstLineChars="200"/>
        <w:rPr>
          <w:rFonts w:hint="eastAsia" w:ascii="宋体" w:hAnsi="宋体" w:eastAsia="宋体" w:cs="宋体"/>
          <w:sz w:val="24"/>
        </w:rPr>
      </w:pPr>
      <w:r>
        <w:rPr>
          <w:rFonts w:hint="eastAsia" w:ascii="宋体" w:hAnsi="宋体" w:eastAsia="宋体" w:cs="宋体"/>
          <w:sz w:val="24"/>
        </w:rPr>
        <w:t>甲方(加盖公章)：</w:t>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 xml:space="preserve">  乙方(加盖公章)：</w:t>
      </w:r>
    </w:p>
    <w:p w14:paraId="0FF6C704">
      <w:pPr>
        <w:spacing w:line="360" w:lineRule="auto"/>
        <w:ind w:firstLine="480" w:firstLineChars="200"/>
        <w:rPr>
          <w:rFonts w:hint="eastAsia" w:ascii="宋体" w:hAnsi="宋体" w:eastAsia="宋体" w:cs="宋体"/>
          <w:sz w:val="24"/>
        </w:rPr>
      </w:pPr>
      <w:r>
        <w:rPr>
          <w:rFonts w:hint="eastAsia" w:ascii="宋体" w:hAnsi="宋体" w:eastAsia="宋体" w:cs="宋体"/>
          <w:sz w:val="24"/>
        </w:rPr>
        <w:t>法人或授权代表签字：             法人或授权代表签字：</w:t>
      </w:r>
    </w:p>
    <w:p w14:paraId="093DA6C5">
      <w:pPr>
        <w:spacing w:line="360" w:lineRule="auto"/>
        <w:ind w:firstLine="480" w:firstLineChars="200"/>
        <w:rPr>
          <w:rFonts w:hint="eastAsia" w:ascii="宋体" w:hAnsi="宋体" w:eastAsia="宋体" w:cs="宋体"/>
          <w:sz w:val="24"/>
        </w:rPr>
      </w:pPr>
      <w:r>
        <w:rPr>
          <w:rFonts w:hint="eastAsia" w:ascii="宋体" w:hAnsi="宋体" w:eastAsia="宋体" w:cs="宋体"/>
          <w:sz w:val="24"/>
        </w:rPr>
        <w:t>日 期：     年    月  日         日 期：     年    月    日</w:t>
      </w:r>
    </w:p>
    <w:bookmarkEnd w:id="34"/>
    <w:p w14:paraId="4FBB29F3">
      <w:pPr>
        <w:spacing w:after="0" w:line="360" w:lineRule="auto"/>
        <w:ind w:firstLine="480" w:firstLineChars="200"/>
        <w:jc w:val="both"/>
        <w:rPr>
          <w:rFonts w:hint="eastAsia" w:ascii="宋体" w:hAnsi="宋体" w:eastAsia="宋体" w:cs="宋体"/>
          <w:color w:val="000000"/>
          <w:sz w:val="24"/>
          <w14:ligatures w14:val="none"/>
        </w:rPr>
      </w:pPr>
      <w:bookmarkStart w:id="35" w:name="heading_39"/>
    </w:p>
    <w:p w14:paraId="5A4537A7">
      <w:pPr>
        <w:tabs>
          <w:tab w:val="left" w:pos="2696"/>
        </w:tabs>
        <w:spacing w:after="0" w:line="560" w:lineRule="exact"/>
        <w:ind w:firstLine="482" w:firstLineChars="200"/>
        <w:jc w:val="both"/>
        <w:rPr>
          <w:rFonts w:hint="eastAsia" w:ascii="宋体" w:hAnsi="宋体" w:eastAsia="宋体" w:cs="Times New Roman"/>
          <w:b/>
          <w:bCs/>
          <w:sz w:val="24"/>
          <w:szCs w:val="21"/>
          <w14:ligatures w14:val="none"/>
        </w:rPr>
      </w:pPr>
    </w:p>
    <w:p w14:paraId="2C74E7F2">
      <w:pPr>
        <w:tabs>
          <w:tab w:val="left" w:pos="2696"/>
        </w:tabs>
        <w:spacing w:after="0" w:line="560" w:lineRule="exact"/>
        <w:ind w:firstLine="482" w:firstLineChars="200"/>
        <w:jc w:val="both"/>
        <w:rPr>
          <w:rFonts w:hint="eastAsia" w:ascii="宋体" w:hAnsi="宋体" w:eastAsia="宋体" w:cs="Times New Roman"/>
          <w:b/>
          <w:bCs/>
          <w:sz w:val="24"/>
          <w:szCs w:val="21"/>
          <w14:ligatures w14:val="none"/>
        </w:rPr>
      </w:pPr>
    </w:p>
    <w:p w14:paraId="1BF3066F">
      <w:pPr>
        <w:spacing w:line="560" w:lineRule="exact"/>
        <w:jc w:val="center"/>
        <w:rPr>
          <w:rFonts w:hint="eastAsia" w:asciiTheme="minorEastAsia" w:hAnsiTheme="minorEastAsia" w:cstheme="minorEastAsia"/>
          <w:sz w:val="24"/>
        </w:rPr>
      </w:pPr>
      <w:r>
        <w:rPr>
          <w:rFonts w:hint="eastAsia" w:ascii="黑体" w:hAnsi="黑体" w:eastAsia="黑体" w:cs="黑体"/>
          <w:b/>
          <w:bCs/>
          <w:sz w:val="44"/>
          <w:szCs w:val="52"/>
        </w:rPr>
        <w:t>2026年中秋月饼采购项目之礼盒包装组装三方补充协议</w:t>
      </w:r>
    </w:p>
    <w:p w14:paraId="554A89CB">
      <w:pPr>
        <w:spacing w:line="560" w:lineRule="exact"/>
        <w:rPr>
          <w:rFonts w:hint="eastAsia" w:asciiTheme="minorEastAsia" w:hAnsiTheme="minorEastAsia" w:cstheme="minorEastAsia"/>
          <w:sz w:val="24"/>
        </w:rPr>
      </w:pPr>
      <w:r>
        <w:rPr>
          <w:rFonts w:hint="eastAsia" w:asciiTheme="minorEastAsia" w:hAnsiTheme="minorEastAsia" w:cstheme="minorEastAsia"/>
          <w:sz w:val="24"/>
        </w:rPr>
        <w:t xml:space="preserve">甲方： </w:t>
      </w:r>
    </w:p>
    <w:p w14:paraId="279516CD">
      <w:pPr>
        <w:spacing w:line="560" w:lineRule="exact"/>
        <w:rPr>
          <w:rFonts w:hint="eastAsia" w:asciiTheme="minorEastAsia" w:hAnsiTheme="minorEastAsia" w:cstheme="minorEastAsia"/>
          <w:sz w:val="24"/>
        </w:rPr>
      </w:pPr>
      <w:r>
        <w:rPr>
          <w:rFonts w:hint="eastAsia" w:asciiTheme="minorEastAsia" w:hAnsiTheme="minorEastAsia" w:cstheme="minorEastAsia"/>
          <w:sz w:val="24"/>
        </w:rPr>
        <w:t xml:space="preserve">乙方： </w:t>
      </w:r>
    </w:p>
    <w:p w14:paraId="1D987916">
      <w:pPr>
        <w:spacing w:line="560" w:lineRule="exact"/>
        <w:rPr>
          <w:rFonts w:hint="eastAsia" w:asciiTheme="minorEastAsia" w:hAnsiTheme="minorEastAsia" w:cstheme="minorEastAsia"/>
          <w:sz w:val="24"/>
        </w:rPr>
      </w:pPr>
      <w:r>
        <w:rPr>
          <w:rFonts w:hint="eastAsia" w:asciiTheme="minorEastAsia" w:hAnsiTheme="minorEastAsia" w:cstheme="minorEastAsia"/>
          <w:sz w:val="24"/>
        </w:rPr>
        <w:t xml:space="preserve">丙方： </w:t>
      </w:r>
    </w:p>
    <w:p w14:paraId="7D6A06D2">
      <w:pPr>
        <w:spacing w:line="560" w:lineRule="exact"/>
        <w:ind w:firstLine="480" w:firstLineChars="200"/>
        <w:rPr>
          <w:rFonts w:hint="eastAsia" w:asciiTheme="minorEastAsia" w:hAnsiTheme="minorEastAsia" w:cstheme="minorEastAsia"/>
          <w:sz w:val="24"/>
        </w:rPr>
      </w:pPr>
    </w:p>
    <w:p w14:paraId="6794B194">
      <w:pPr>
        <w:spacing w:line="560" w:lineRule="exact"/>
        <w:rPr>
          <w:rFonts w:hint="eastAsia" w:asciiTheme="minorEastAsia" w:hAnsiTheme="minorEastAsia" w:cstheme="minorEastAsia"/>
          <w:sz w:val="24"/>
        </w:rPr>
      </w:pPr>
      <w:r>
        <w:rPr>
          <w:rFonts w:hint="eastAsia" w:asciiTheme="minorEastAsia" w:hAnsiTheme="minorEastAsia" w:cstheme="minorEastAsia"/>
          <w:sz w:val="24"/>
        </w:rPr>
        <w:t>鉴于：</w:t>
      </w:r>
    </w:p>
    <w:p w14:paraId="4E6D6E61">
      <w:pPr>
        <w:spacing w:line="560" w:lineRule="exact"/>
        <w:ind w:firstLine="480" w:firstLineChars="200"/>
        <w:rPr>
          <w:rFonts w:hint="eastAsia" w:asciiTheme="minorEastAsia" w:hAnsiTheme="minorEastAsia" w:cstheme="minorEastAsia"/>
          <w:sz w:val="24"/>
        </w:rPr>
      </w:pPr>
      <w:r>
        <w:rPr>
          <w:rFonts w:hint="eastAsia" w:asciiTheme="minorEastAsia" w:hAnsiTheme="minorEastAsia" w:cstheme="minorEastAsia"/>
          <w:sz w:val="24"/>
        </w:rPr>
        <w:t>1.甲方与乙方于  年 月  日签订了《2026年中秋月饼采购项目单项合同》（以下简称“甲乙方主合同”），约定甲方向乙方采购</w:t>
      </w:r>
      <w:r>
        <w:rPr>
          <w:rFonts w:hint="eastAsia" w:asciiTheme="minorEastAsia" w:hAnsiTheme="minorEastAsia" w:cstheme="minorEastAsia"/>
          <w:sz w:val="24"/>
          <w:u w:val="single"/>
        </w:rPr>
        <w:t>传统</w:t>
      </w:r>
      <w:r>
        <w:rPr>
          <w:rFonts w:hint="eastAsia" w:asciiTheme="minorEastAsia" w:hAnsiTheme="minorEastAsia" w:cstheme="minorEastAsia"/>
          <w:sz w:val="24"/>
        </w:rPr>
        <w:t>口味月饼，乙方负责</w:t>
      </w:r>
      <w:r>
        <w:rPr>
          <w:rFonts w:hint="eastAsia" w:asciiTheme="minorEastAsia" w:hAnsiTheme="minorEastAsia" w:cstheme="minorEastAsia"/>
          <w:sz w:val="24"/>
          <w:u w:val="single"/>
        </w:rPr>
        <w:t xml:space="preserve"> 传统 </w:t>
      </w:r>
      <w:r>
        <w:rPr>
          <w:rFonts w:hint="eastAsia" w:asciiTheme="minorEastAsia" w:hAnsiTheme="minorEastAsia" w:cstheme="minorEastAsia"/>
          <w:sz w:val="24"/>
        </w:rPr>
        <w:t>口味月饼供货及包装。</w:t>
      </w:r>
    </w:p>
    <w:p w14:paraId="5730637E">
      <w:pPr>
        <w:spacing w:line="560" w:lineRule="exact"/>
        <w:ind w:firstLine="480" w:firstLineChars="200"/>
        <w:rPr>
          <w:rFonts w:hint="eastAsia" w:asciiTheme="minorEastAsia" w:hAnsiTheme="minorEastAsia" w:cstheme="minorEastAsia"/>
          <w:sz w:val="24"/>
        </w:rPr>
      </w:pPr>
      <w:r>
        <w:rPr>
          <w:rFonts w:hint="eastAsia" w:asciiTheme="minorEastAsia" w:hAnsiTheme="minorEastAsia" w:cstheme="minorEastAsia"/>
          <w:sz w:val="24"/>
        </w:rPr>
        <w:t>2.甲方与丙方于  年 月  日日签订了《2026年中秋月饼采购项目单项合同》（以下简称“甲丙方主合同”），约定甲方向丙方采购</w:t>
      </w:r>
      <w:r>
        <w:rPr>
          <w:rFonts w:hint="eastAsia" w:asciiTheme="minorEastAsia" w:hAnsiTheme="minorEastAsia" w:cstheme="minorEastAsia"/>
          <w:sz w:val="24"/>
          <w:u w:val="single"/>
        </w:rPr>
        <w:t>新式</w:t>
      </w:r>
      <w:r>
        <w:rPr>
          <w:rFonts w:hint="eastAsia" w:asciiTheme="minorEastAsia" w:hAnsiTheme="minorEastAsia" w:cstheme="minorEastAsia"/>
          <w:sz w:val="24"/>
        </w:rPr>
        <w:t>口味月饼，丙方负责</w:t>
      </w:r>
      <w:r>
        <w:rPr>
          <w:rFonts w:hint="eastAsia" w:asciiTheme="minorEastAsia" w:hAnsiTheme="minorEastAsia" w:cstheme="minorEastAsia"/>
          <w:sz w:val="24"/>
          <w:u w:val="single"/>
        </w:rPr>
        <w:t xml:space="preserve"> 传统</w:t>
      </w:r>
      <w:r>
        <w:rPr>
          <w:rFonts w:hint="eastAsia" w:asciiTheme="minorEastAsia" w:hAnsiTheme="minorEastAsia" w:cstheme="minorEastAsia"/>
          <w:sz w:val="24"/>
        </w:rPr>
        <w:t>口味月饼供货及包装。</w:t>
      </w:r>
    </w:p>
    <w:p w14:paraId="7665B3F5">
      <w:pPr>
        <w:spacing w:line="560" w:lineRule="exact"/>
        <w:ind w:firstLine="480" w:firstLineChars="200"/>
        <w:rPr>
          <w:rFonts w:hint="eastAsia" w:asciiTheme="minorEastAsia" w:hAnsiTheme="minorEastAsia" w:cstheme="minorEastAsia"/>
          <w:sz w:val="24"/>
        </w:rPr>
      </w:pPr>
      <w:r>
        <w:rPr>
          <w:rFonts w:hint="eastAsia" w:asciiTheme="minorEastAsia" w:hAnsiTheme="minorEastAsia" w:cstheme="minorEastAsia"/>
          <w:sz w:val="24"/>
        </w:rPr>
        <w:t>现因甲方有传统口味及新式口味月饼混装礼盒</w:t>
      </w:r>
      <w:r>
        <w:rPr>
          <w:rFonts w:hint="eastAsia" w:asciiTheme="minorEastAsia" w:hAnsiTheme="minorEastAsia" w:cstheme="minorEastAsia"/>
          <w:sz w:val="24"/>
          <w:highlight w:val="yellow"/>
        </w:rPr>
        <w:t>【礼盒名称】</w:t>
      </w:r>
      <w:r>
        <w:rPr>
          <w:rFonts w:hint="eastAsia" w:asciiTheme="minorEastAsia" w:hAnsiTheme="minorEastAsia" w:cstheme="minorEastAsia"/>
          <w:sz w:val="24"/>
        </w:rPr>
        <w:t>包装要求，经甲方、乙方、丙方三方友好协商，就“</w:t>
      </w:r>
      <w:r>
        <w:rPr>
          <w:rFonts w:hint="eastAsia" w:asciiTheme="minorEastAsia" w:hAnsiTheme="minorEastAsia" w:cstheme="minorEastAsia"/>
          <w:sz w:val="24"/>
          <w:highlight w:val="yellow"/>
        </w:rPr>
        <w:t>【礼盒名称】</w:t>
      </w:r>
      <w:r>
        <w:rPr>
          <w:rFonts w:hint="eastAsia" w:asciiTheme="minorEastAsia" w:hAnsiTheme="minorEastAsia" w:cstheme="minorEastAsia"/>
          <w:sz w:val="24"/>
        </w:rPr>
        <w:t>”供货及包装事宜补充约定如下：</w:t>
      </w:r>
    </w:p>
    <w:p w14:paraId="36B5C061">
      <w:pPr>
        <w:spacing w:line="560" w:lineRule="exact"/>
        <w:ind w:firstLine="480" w:firstLineChars="200"/>
        <w:rPr>
          <w:rFonts w:hint="eastAsia" w:asciiTheme="minorEastAsia" w:hAnsiTheme="minorEastAsia" w:cstheme="minorEastAsia"/>
          <w:b/>
          <w:bCs/>
          <w:sz w:val="24"/>
        </w:rPr>
      </w:pPr>
      <w:r>
        <w:rPr>
          <w:rFonts w:hint="eastAsia" w:asciiTheme="minorEastAsia" w:hAnsiTheme="minorEastAsia" w:cstheme="minorEastAsia"/>
          <w:b/>
          <w:bCs/>
          <w:sz w:val="24"/>
        </w:rPr>
        <w:t>一、礼盒月饼生产供货</w:t>
      </w:r>
    </w:p>
    <w:p w14:paraId="75A2252C">
      <w:pPr>
        <w:spacing w:line="560" w:lineRule="exact"/>
        <w:ind w:firstLine="480" w:firstLineChars="200"/>
        <w:rPr>
          <w:rFonts w:hint="eastAsia" w:asciiTheme="minorEastAsia" w:hAnsiTheme="minorEastAsia" w:cstheme="minorEastAsia"/>
          <w:sz w:val="24"/>
        </w:rPr>
      </w:pPr>
      <w:r>
        <w:rPr>
          <w:rFonts w:hint="eastAsia" w:asciiTheme="minorEastAsia" w:hAnsiTheme="minorEastAsia" w:cstheme="minorEastAsia"/>
          <w:sz w:val="24"/>
        </w:rPr>
        <w:t>1.乙方按照“甲乙方主合同”要求负责</w:t>
      </w:r>
      <w:r>
        <w:rPr>
          <w:rFonts w:hint="eastAsia" w:asciiTheme="minorEastAsia" w:hAnsiTheme="minorEastAsia" w:cstheme="minorEastAsia"/>
          <w:sz w:val="24"/>
          <w:highlight w:val="yellow"/>
        </w:rPr>
        <w:t>【礼盒名称】</w:t>
      </w:r>
      <w:r>
        <w:rPr>
          <w:rFonts w:hint="eastAsia" w:asciiTheme="minorEastAsia" w:hAnsiTheme="minorEastAsia" w:cstheme="minorEastAsia"/>
          <w:sz w:val="24"/>
        </w:rPr>
        <w:t>中</w:t>
      </w:r>
      <w:r>
        <w:rPr>
          <w:rFonts w:hint="eastAsia" w:asciiTheme="minorEastAsia" w:hAnsiTheme="minorEastAsia" w:cstheme="minorEastAsia"/>
          <w:sz w:val="24"/>
          <w:u w:val="single"/>
        </w:rPr>
        <w:t xml:space="preserve">传统 </w:t>
      </w:r>
      <w:r>
        <w:rPr>
          <w:rFonts w:hint="eastAsia" w:asciiTheme="minorEastAsia" w:hAnsiTheme="minorEastAsia" w:cstheme="minorEastAsia"/>
          <w:sz w:val="24"/>
        </w:rPr>
        <w:t>口味月饼生产及供货。</w:t>
      </w:r>
    </w:p>
    <w:p w14:paraId="68790450">
      <w:pPr>
        <w:spacing w:line="560" w:lineRule="exact"/>
        <w:ind w:firstLine="480" w:firstLineChars="200"/>
        <w:rPr>
          <w:rFonts w:hint="eastAsia" w:asciiTheme="minorEastAsia" w:hAnsiTheme="minorEastAsia" w:cstheme="minorEastAsia"/>
          <w:sz w:val="24"/>
        </w:rPr>
      </w:pPr>
      <w:r>
        <w:rPr>
          <w:rFonts w:hint="eastAsia" w:asciiTheme="minorEastAsia" w:hAnsiTheme="minorEastAsia" w:cstheme="minorEastAsia"/>
          <w:sz w:val="24"/>
        </w:rPr>
        <w:t>2.丙方按照“甲丙方主合同”要求负责</w:t>
      </w:r>
      <w:r>
        <w:rPr>
          <w:rFonts w:hint="eastAsia" w:asciiTheme="minorEastAsia" w:hAnsiTheme="minorEastAsia" w:cstheme="minorEastAsia"/>
          <w:sz w:val="24"/>
          <w:highlight w:val="yellow"/>
        </w:rPr>
        <w:t>【礼盒名称】</w:t>
      </w:r>
      <w:r>
        <w:rPr>
          <w:rFonts w:hint="eastAsia" w:asciiTheme="minorEastAsia" w:hAnsiTheme="minorEastAsia" w:cstheme="minorEastAsia"/>
          <w:sz w:val="24"/>
        </w:rPr>
        <w:t>中</w:t>
      </w:r>
      <w:r>
        <w:rPr>
          <w:rFonts w:hint="eastAsia" w:asciiTheme="minorEastAsia" w:hAnsiTheme="minorEastAsia" w:cstheme="minorEastAsia"/>
          <w:sz w:val="24"/>
          <w:u w:val="single"/>
        </w:rPr>
        <w:t xml:space="preserve">新式 </w:t>
      </w:r>
      <w:r>
        <w:rPr>
          <w:rFonts w:hint="eastAsia" w:asciiTheme="minorEastAsia" w:hAnsiTheme="minorEastAsia" w:cstheme="minorEastAsia"/>
          <w:sz w:val="24"/>
        </w:rPr>
        <w:t>口味月饼生产及供货。</w:t>
      </w:r>
    </w:p>
    <w:p w14:paraId="05A770AB">
      <w:pPr>
        <w:spacing w:line="560" w:lineRule="exact"/>
        <w:ind w:firstLine="480" w:firstLineChars="200"/>
        <w:rPr>
          <w:rFonts w:hint="eastAsia" w:asciiTheme="minorEastAsia" w:hAnsiTheme="minorEastAsia" w:cstheme="minorEastAsia"/>
          <w:sz w:val="24"/>
        </w:rPr>
      </w:pPr>
      <w:r>
        <w:rPr>
          <w:rFonts w:hint="eastAsia" w:asciiTheme="minorEastAsia" w:hAnsiTheme="minorEastAsia" w:cstheme="minorEastAsia"/>
          <w:sz w:val="24"/>
        </w:rPr>
        <w:t>3.“</w:t>
      </w:r>
      <w:r>
        <w:rPr>
          <w:rFonts w:hint="eastAsia" w:asciiTheme="minorEastAsia" w:hAnsiTheme="minorEastAsia" w:cstheme="minorEastAsia"/>
          <w:sz w:val="24"/>
          <w:highlight w:val="yellow"/>
        </w:rPr>
        <w:t>【礼盒名称】</w:t>
      </w:r>
      <w:r>
        <w:rPr>
          <w:rFonts w:hint="eastAsia" w:asciiTheme="minorEastAsia" w:hAnsiTheme="minorEastAsia" w:cstheme="minorEastAsia"/>
          <w:sz w:val="24"/>
        </w:rPr>
        <w:t>”到货周期为【乙方</w:t>
      </w:r>
      <w:r>
        <w:rPr>
          <w:rFonts w:hint="eastAsia" w:asciiTheme="minorEastAsia" w:hAnsiTheme="minorEastAsia" w:cstheme="minorEastAsia"/>
          <w:sz w:val="24"/>
          <w:u w:val="single"/>
        </w:rPr>
        <w:t xml:space="preserve">   </w:t>
      </w:r>
      <w:r>
        <w:rPr>
          <w:rFonts w:hint="eastAsia" w:asciiTheme="minorEastAsia" w:hAnsiTheme="minorEastAsia" w:cstheme="minorEastAsia"/>
          <w:sz w:val="24"/>
        </w:rPr>
        <w:t>个自然日、丙方</w:t>
      </w:r>
      <w:r>
        <w:rPr>
          <w:rFonts w:hint="eastAsia" w:asciiTheme="minorEastAsia" w:hAnsiTheme="minorEastAsia" w:cstheme="minorEastAsia"/>
          <w:sz w:val="24"/>
          <w:u w:val="single"/>
        </w:rPr>
        <w:t xml:space="preserve">   </w:t>
      </w:r>
      <w:r>
        <w:rPr>
          <w:rFonts w:hint="eastAsia" w:asciiTheme="minorEastAsia" w:hAnsiTheme="minorEastAsia" w:cstheme="minorEastAsia"/>
          <w:sz w:val="24"/>
        </w:rPr>
        <w:t>个自然日】个自然日，甲方应提前【   】个自然日分别向乙方、丙方发出生产订单，在乙、丙方按指定要求发货之前，甲方需明确用于“</w:t>
      </w:r>
      <w:r>
        <w:rPr>
          <w:rFonts w:hint="eastAsia" w:asciiTheme="minorEastAsia" w:hAnsiTheme="minorEastAsia" w:cstheme="minorEastAsia"/>
          <w:sz w:val="24"/>
          <w:highlight w:val="yellow"/>
        </w:rPr>
        <w:t>【礼盒名称】</w:t>
      </w:r>
      <w:r>
        <w:rPr>
          <w:rFonts w:hint="eastAsia" w:asciiTheme="minorEastAsia" w:hAnsiTheme="minorEastAsia" w:cstheme="minorEastAsia"/>
          <w:sz w:val="24"/>
        </w:rPr>
        <w:t>”的月饼数量。</w:t>
      </w:r>
    </w:p>
    <w:p w14:paraId="039A106A">
      <w:pPr>
        <w:spacing w:line="560" w:lineRule="exact"/>
        <w:ind w:firstLine="480" w:firstLineChars="200"/>
        <w:rPr>
          <w:rFonts w:hint="eastAsia" w:asciiTheme="minorEastAsia" w:hAnsiTheme="minorEastAsia" w:cstheme="minorEastAsia"/>
          <w:b/>
          <w:bCs/>
          <w:sz w:val="24"/>
        </w:rPr>
      </w:pPr>
      <w:r>
        <w:rPr>
          <w:rFonts w:hint="eastAsia" w:asciiTheme="minorEastAsia" w:hAnsiTheme="minorEastAsia" w:cstheme="minorEastAsia"/>
          <w:b/>
          <w:bCs/>
          <w:sz w:val="24"/>
        </w:rPr>
        <w:t>二、礼盒月饼包装及到货</w:t>
      </w:r>
    </w:p>
    <w:p w14:paraId="48746024">
      <w:pPr>
        <w:spacing w:line="560" w:lineRule="exact"/>
        <w:ind w:firstLine="480" w:firstLineChars="200"/>
        <w:rPr>
          <w:rFonts w:hint="eastAsia" w:asciiTheme="minorEastAsia" w:hAnsiTheme="minorEastAsia" w:cstheme="minorEastAsia"/>
          <w:sz w:val="24"/>
        </w:rPr>
      </w:pPr>
      <w:r>
        <w:rPr>
          <w:rFonts w:hint="eastAsia" w:asciiTheme="minorEastAsia" w:hAnsiTheme="minorEastAsia" w:cstheme="minorEastAsia"/>
          <w:sz w:val="24"/>
        </w:rPr>
        <w:t>1.“</w:t>
      </w:r>
      <w:r>
        <w:rPr>
          <w:rFonts w:hint="eastAsia" w:asciiTheme="minorEastAsia" w:hAnsiTheme="minorEastAsia" w:cstheme="minorEastAsia"/>
          <w:sz w:val="24"/>
          <w:highlight w:val="yellow"/>
        </w:rPr>
        <w:t>【礼盒名称】</w:t>
      </w:r>
      <w:r>
        <w:rPr>
          <w:rFonts w:hint="eastAsia" w:asciiTheme="minorEastAsia" w:hAnsiTheme="minorEastAsia" w:cstheme="minorEastAsia"/>
          <w:sz w:val="24"/>
        </w:rPr>
        <w:t>”由乙方、丙方分别完成对应口味的生产及供货，组装成礼盒的工序由丙方负责完成。乙方应在收到甲方订单的【  】个自然日内将符合甲方要求数量的货物配送至丙方指定地点，地点为【    】，联系人及电话为【  】。若乙方不能按时按质按量交付货物至丙方，视为乙方交付甲方货物违约，甲方有权根据“甲乙方主合同”追究乙方的违约责任。</w:t>
      </w:r>
    </w:p>
    <w:p w14:paraId="3399104F">
      <w:pPr>
        <w:spacing w:line="560" w:lineRule="exact"/>
        <w:ind w:firstLine="480" w:firstLineChars="200"/>
        <w:rPr>
          <w:rFonts w:hint="eastAsia" w:asciiTheme="minorEastAsia" w:hAnsiTheme="minorEastAsia" w:cstheme="minorEastAsia"/>
          <w:sz w:val="24"/>
        </w:rPr>
      </w:pPr>
      <w:r>
        <w:rPr>
          <w:rFonts w:hint="eastAsia" w:asciiTheme="minorEastAsia" w:hAnsiTheme="minorEastAsia" w:cstheme="minorEastAsia"/>
          <w:sz w:val="24"/>
        </w:rPr>
        <w:t>2.丙方接收乙方交付的</w:t>
      </w:r>
      <w:r>
        <w:rPr>
          <w:rFonts w:hint="eastAsia" w:asciiTheme="minorEastAsia" w:hAnsiTheme="minorEastAsia" w:cstheme="minorEastAsia"/>
          <w:sz w:val="24"/>
          <w:u w:val="single"/>
        </w:rPr>
        <w:t xml:space="preserve"> 传统 </w:t>
      </w:r>
      <w:r>
        <w:rPr>
          <w:rFonts w:hint="eastAsia" w:asciiTheme="minorEastAsia" w:hAnsiTheme="minorEastAsia" w:cstheme="minorEastAsia"/>
          <w:sz w:val="24"/>
        </w:rPr>
        <w:t>口味月饼后，应按照以下图示的“</w:t>
      </w:r>
      <w:r>
        <w:rPr>
          <w:rFonts w:hint="eastAsia" w:asciiTheme="minorEastAsia" w:hAnsiTheme="minorEastAsia" w:cstheme="minorEastAsia"/>
          <w:sz w:val="24"/>
          <w:highlight w:val="yellow"/>
        </w:rPr>
        <w:t>【礼盒名称】组装要求</w:t>
      </w:r>
      <w:r>
        <w:rPr>
          <w:rFonts w:hint="eastAsia" w:asciiTheme="minorEastAsia" w:hAnsiTheme="minorEastAsia" w:cstheme="minorEastAsia"/>
          <w:sz w:val="24"/>
        </w:rPr>
        <w:t>”组装礼盒，并在【  】个自然日内根据甲方要求将货物配送至甲方指定地点。若丙方不能按时按质按量交付货物至甲方，甲方有权根据“甲丙方主合同”追究丙方的违约责任。</w:t>
      </w:r>
    </w:p>
    <w:p w14:paraId="12136844">
      <w:pPr>
        <w:spacing w:line="560" w:lineRule="exact"/>
        <w:jc w:val="center"/>
        <w:rPr>
          <w:rFonts w:hint="eastAsia" w:asciiTheme="minorEastAsia" w:hAnsiTheme="minorEastAsia" w:cstheme="minorEastAsia"/>
          <w:b/>
          <w:bCs/>
          <w:szCs w:val="21"/>
        </w:rPr>
      </w:pPr>
      <w:r>
        <w:rPr>
          <w:rFonts w:hint="eastAsia" w:asciiTheme="minorEastAsia" w:hAnsiTheme="minorEastAsia" w:cstheme="minorEastAsia"/>
          <w:sz w:val="24"/>
          <w:highlight w:val="yellow"/>
        </w:rPr>
        <w:t>【礼盒名称】</w:t>
      </w:r>
      <w:r>
        <w:rPr>
          <w:rFonts w:hint="eastAsia" w:asciiTheme="minorEastAsia" w:hAnsiTheme="minorEastAsia" w:cstheme="minorEastAsia"/>
          <w:b/>
          <w:bCs/>
          <w:szCs w:val="21"/>
        </w:rPr>
        <w:t>组装要求</w:t>
      </w:r>
    </w:p>
    <w:p w14:paraId="0D93A9B6">
      <w:pPr>
        <w:rPr>
          <w:rFonts w:hint="eastAsia" w:asciiTheme="minorEastAsia" w:hAnsiTheme="minorEastAsia" w:cstheme="minorEastAsia"/>
          <w:sz w:val="24"/>
        </w:rPr>
      </w:pPr>
      <w:r>
        <w:rPr>
          <w:rFonts w:hint="eastAsia" w:asciiTheme="minorEastAsia" w:hAnsiTheme="minorEastAsia" w:cstheme="minorEastAsia"/>
          <w:sz w:val="24"/>
        </w:rPr>
        <w:br w:type="page"/>
      </w:r>
    </w:p>
    <w:p w14:paraId="74E256A6">
      <w:pPr>
        <w:spacing w:line="560" w:lineRule="exact"/>
        <w:ind w:firstLine="480" w:firstLineChars="200"/>
        <w:rPr>
          <w:rFonts w:hint="eastAsia" w:asciiTheme="minorEastAsia" w:hAnsiTheme="minorEastAsia" w:cstheme="minorEastAsia"/>
          <w:b/>
          <w:bCs/>
          <w:sz w:val="24"/>
        </w:rPr>
      </w:pPr>
      <w:r>
        <w:rPr>
          <w:rFonts w:hint="eastAsia" w:asciiTheme="minorEastAsia" w:hAnsiTheme="minorEastAsia" w:cstheme="minorEastAsia"/>
          <w:b/>
          <w:bCs/>
          <w:sz w:val="24"/>
        </w:rPr>
        <w:t>三、包装费结算</w:t>
      </w:r>
    </w:p>
    <w:p w14:paraId="2A230C9A">
      <w:pPr>
        <w:spacing w:line="560" w:lineRule="exact"/>
        <w:ind w:firstLine="480" w:firstLineChars="200"/>
        <w:rPr>
          <w:rFonts w:hint="eastAsia" w:asciiTheme="minorEastAsia" w:hAnsiTheme="minorEastAsia" w:cstheme="minorEastAsia"/>
          <w:sz w:val="24"/>
        </w:rPr>
      </w:pPr>
      <w:r>
        <w:rPr>
          <w:rFonts w:hint="eastAsia" w:asciiTheme="minorEastAsia" w:hAnsiTheme="minorEastAsia" w:cstheme="minorEastAsia"/>
          <w:sz w:val="24"/>
        </w:rPr>
        <w:t>1.“中秋团圆礼盒”组装成本由乙方及丙方按约定承担，甲方无须另外支付组装包装等费用。</w:t>
      </w:r>
    </w:p>
    <w:p w14:paraId="1DA731CF">
      <w:pPr>
        <w:spacing w:line="560" w:lineRule="exact"/>
        <w:ind w:firstLine="480" w:firstLineChars="200"/>
        <w:rPr>
          <w:rFonts w:hint="eastAsia" w:asciiTheme="minorEastAsia" w:hAnsiTheme="minorEastAsia" w:cstheme="minorEastAsia"/>
          <w:sz w:val="24"/>
        </w:rPr>
      </w:pPr>
      <w:r>
        <w:rPr>
          <w:rFonts w:hint="eastAsia" w:asciiTheme="minorEastAsia" w:hAnsiTheme="minorEastAsia" w:cstheme="minorEastAsia"/>
          <w:sz w:val="24"/>
        </w:rPr>
        <w:t>2.乙方及丙方均同意：乙方应根据“</w:t>
      </w:r>
      <w:r>
        <w:rPr>
          <w:rFonts w:hint="eastAsia" w:asciiTheme="minorEastAsia" w:hAnsiTheme="minorEastAsia" w:cstheme="minorEastAsia"/>
          <w:sz w:val="24"/>
          <w:highlight w:val="yellow"/>
        </w:rPr>
        <w:t>【礼盒名称】</w:t>
      </w:r>
      <w:r>
        <w:rPr>
          <w:rFonts w:hint="eastAsia" w:asciiTheme="minorEastAsia" w:hAnsiTheme="minorEastAsia" w:cstheme="minorEastAsia"/>
          <w:sz w:val="24"/>
        </w:rPr>
        <w:t>”装盒的数量，按每盒【  】元向丙方支付包装服务费，承担属于乙方的组装成本。乙丙双方应自行商定包装服务费的具体结算条款，甲方对乙丙双方费用结算事项不承担任何责任。</w:t>
      </w:r>
    </w:p>
    <w:p w14:paraId="322E9F14">
      <w:pPr>
        <w:spacing w:line="560" w:lineRule="exact"/>
        <w:ind w:firstLine="480" w:firstLineChars="200"/>
        <w:rPr>
          <w:rFonts w:hint="eastAsia" w:asciiTheme="minorEastAsia" w:hAnsiTheme="minorEastAsia" w:cstheme="minorEastAsia"/>
          <w:b/>
          <w:bCs/>
          <w:sz w:val="24"/>
        </w:rPr>
      </w:pPr>
      <w:r>
        <w:rPr>
          <w:rFonts w:hint="eastAsia" w:asciiTheme="minorEastAsia" w:hAnsiTheme="minorEastAsia" w:cstheme="minorEastAsia"/>
          <w:b/>
          <w:bCs/>
          <w:sz w:val="24"/>
        </w:rPr>
        <w:t>四、其他约定</w:t>
      </w:r>
    </w:p>
    <w:p w14:paraId="419983AE">
      <w:pPr>
        <w:spacing w:line="560" w:lineRule="exact"/>
        <w:ind w:firstLine="480" w:firstLineChars="200"/>
        <w:rPr>
          <w:rFonts w:hint="eastAsia" w:asciiTheme="minorEastAsia" w:hAnsiTheme="minorEastAsia" w:cstheme="minorEastAsia"/>
          <w:sz w:val="24"/>
        </w:rPr>
      </w:pPr>
      <w:r>
        <w:rPr>
          <w:rFonts w:hint="eastAsia" w:asciiTheme="minorEastAsia" w:hAnsiTheme="minorEastAsia" w:cstheme="minorEastAsia"/>
          <w:sz w:val="24"/>
        </w:rPr>
        <w:t>1.本协议分别作为甲乙方主合同、甲丙方主合同的补充协议，与主合同具有同等法律效力。本协议的争议管辖约定与主合同一致。</w:t>
      </w:r>
    </w:p>
    <w:p w14:paraId="395D73A4">
      <w:pPr>
        <w:spacing w:line="560" w:lineRule="exact"/>
        <w:ind w:firstLine="480" w:firstLineChars="200"/>
        <w:rPr>
          <w:rFonts w:hint="eastAsia" w:asciiTheme="minorEastAsia" w:hAnsiTheme="minorEastAsia" w:cstheme="minorEastAsia"/>
          <w:sz w:val="24"/>
        </w:rPr>
      </w:pPr>
      <w:r>
        <w:rPr>
          <w:rFonts w:hint="eastAsia" w:asciiTheme="minorEastAsia" w:hAnsiTheme="minorEastAsia" w:cstheme="minorEastAsia"/>
          <w:sz w:val="24"/>
        </w:rPr>
        <w:t>2.本协议自甲乙丙三方签字并加盖公章或合同专用章之日起生效。本协议一式叁份，甲方、乙方、丙方各执一份，均具有同等法律效力。</w:t>
      </w:r>
    </w:p>
    <w:p w14:paraId="512A34B7">
      <w:pPr>
        <w:spacing w:line="560" w:lineRule="exact"/>
        <w:ind w:firstLine="480" w:firstLineChars="200"/>
        <w:rPr>
          <w:rFonts w:hint="eastAsia" w:asciiTheme="minorEastAsia" w:hAnsiTheme="minorEastAsia" w:cstheme="minorEastAsia"/>
          <w:sz w:val="24"/>
        </w:rPr>
      </w:pPr>
      <w:r>
        <w:rPr>
          <w:rFonts w:hint="eastAsia" w:asciiTheme="minorEastAsia" w:hAnsiTheme="minorEastAsia" w:cstheme="minorEastAsia"/>
          <w:sz w:val="24"/>
        </w:rPr>
        <w:t>3.除本协议另有约定外，各方均按照甲乙方主合同、甲丙方主合同执行月饼采购相关事宜。</w:t>
      </w:r>
    </w:p>
    <w:p w14:paraId="5B353E06">
      <w:pPr>
        <w:spacing w:line="560" w:lineRule="exact"/>
        <w:ind w:firstLine="480" w:firstLineChars="200"/>
        <w:rPr>
          <w:rFonts w:hint="eastAsia" w:asciiTheme="minorEastAsia" w:hAnsiTheme="minorEastAsia" w:cstheme="minorEastAsia"/>
          <w:sz w:val="24"/>
        </w:rPr>
      </w:pPr>
      <w:r>
        <w:rPr>
          <w:rFonts w:hint="eastAsia" w:asciiTheme="minorEastAsia" w:hAnsiTheme="minorEastAsia" w:cstheme="minorEastAsia"/>
          <w:sz w:val="24"/>
        </w:rPr>
        <w:t>（以下无正文，为合同签署页）</w:t>
      </w:r>
    </w:p>
    <w:p w14:paraId="24995B73">
      <w:pPr>
        <w:spacing w:line="560" w:lineRule="exact"/>
        <w:ind w:firstLine="480" w:firstLineChars="200"/>
        <w:rPr>
          <w:rFonts w:hint="eastAsia" w:asciiTheme="minorEastAsia" w:hAnsiTheme="minorEastAsia" w:cstheme="minorEastAsia"/>
          <w:sz w:val="24"/>
        </w:rPr>
      </w:pPr>
    </w:p>
    <w:p w14:paraId="2A561A81">
      <w:pPr>
        <w:spacing w:line="560" w:lineRule="exact"/>
        <w:rPr>
          <w:rFonts w:hint="eastAsia" w:asciiTheme="minorEastAsia" w:hAnsiTheme="minorEastAsia" w:cstheme="minorEastAsia"/>
          <w:sz w:val="24"/>
        </w:rPr>
      </w:pPr>
    </w:p>
    <w:p w14:paraId="44438488">
      <w:pPr>
        <w:spacing w:line="560" w:lineRule="exact"/>
        <w:rPr>
          <w:rFonts w:hint="eastAsia" w:asciiTheme="minorEastAsia" w:hAnsiTheme="minorEastAsia" w:cstheme="minorEastAsia"/>
          <w:sz w:val="24"/>
        </w:rPr>
      </w:pPr>
      <w:r>
        <w:rPr>
          <w:rFonts w:hint="eastAsia" w:asciiTheme="minorEastAsia" w:hAnsiTheme="minorEastAsia" w:cstheme="minorEastAsia"/>
          <w:sz w:val="24"/>
        </w:rPr>
        <w:t xml:space="preserve">甲方（盖章）： </w:t>
      </w:r>
    </w:p>
    <w:p w14:paraId="6D401BB0">
      <w:pPr>
        <w:spacing w:line="560" w:lineRule="exact"/>
        <w:rPr>
          <w:rFonts w:hint="eastAsia" w:asciiTheme="minorEastAsia" w:hAnsiTheme="minorEastAsia" w:cstheme="minorEastAsia"/>
          <w:sz w:val="24"/>
        </w:rPr>
      </w:pPr>
      <w:r>
        <w:rPr>
          <w:rFonts w:hint="eastAsia" w:asciiTheme="minorEastAsia" w:hAnsiTheme="minorEastAsia" w:cstheme="minorEastAsia"/>
          <w:sz w:val="24"/>
        </w:rPr>
        <w:t>代表签字：</w:t>
      </w:r>
    </w:p>
    <w:p w14:paraId="4F731750">
      <w:pPr>
        <w:spacing w:line="560" w:lineRule="exact"/>
        <w:rPr>
          <w:rFonts w:hint="eastAsia" w:asciiTheme="minorEastAsia" w:hAnsiTheme="minorEastAsia" w:cstheme="minorEastAsia"/>
          <w:sz w:val="24"/>
        </w:rPr>
      </w:pPr>
      <w:r>
        <w:rPr>
          <w:rFonts w:hint="eastAsia" w:asciiTheme="minorEastAsia" w:hAnsiTheme="minorEastAsia" w:cstheme="minorEastAsia"/>
          <w:sz w:val="24"/>
        </w:rPr>
        <w:t>日期：   年   月   日</w:t>
      </w:r>
    </w:p>
    <w:p w14:paraId="0D5232F4">
      <w:pPr>
        <w:spacing w:line="560" w:lineRule="exact"/>
        <w:rPr>
          <w:rFonts w:hint="eastAsia" w:asciiTheme="minorEastAsia" w:hAnsiTheme="minorEastAsia" w:cstheme="minorEastAsia"/>
          <w:sz w:val="24"/>
        </w:rPr>
      </w:pPr>
    </w:p>
    <w:p w14:paraId="25797AC8">
      <w:pPr>
        <w:spacing w:line="560" w:lineRule="exact"/>
        <w:rPr>
          <w:rFonts w:hint="eastAsia" w:asciiTheme="minorEastAsia" w:hAnsiTheme="minorEastAsia" w:cstheme="minorEastAsia"/>
          <w:sz w:val="24"/>
        </w:rPr>
      </w:pPr>
    </w:p>
    <w:p w14:paraId="406810B7">
      <w:pPr>
        <w:spacing w:line="560" w:lineRule="exact"/>
        <w:rPr>
          <w:rFonts w:hint="eastAsia" w:asciiTheme="minorEastAsia" w:hAnsiTheme="minorEastAsia" w:cstheme="minorEastAsia"/>
          <w:sz w:val="24"/>
        </w:rPr>
      </w:pPr>
      <w:r>
        <w:rPr>
          <w:rFonts w:hint="eastAsia" w:asciiTheme="minorEastAsia" w:hAnsiTheme="minorEastAsia" w:cstheme="minorEastAsia"/>
          <w:sz w:val="24"/>
        </w:rPr>
        <w:t xml:space="preserve">乙方（盖章）： </w:t>
      </w:r>
      <w:r>
        <w:rPr>
          <w:rFonts w:hint="eastAsia" w:asciiTheme="minorEastAsia" w:hAnsiTheme="minorEastAsia" w:cstheme="minorEastAsia"/>
          <w:sz w:val="24"/>
        </w:rPr>
        <w:br w:type="textWrapping"/>
      </w:r>
      <w:r>
        <w:rPr>
          <w:rFonts w:hint="eastAsia" w:asciiTheme="minorEastAsia" w:hAnsiTheme="minorEastAsia" w:cstheme="minorEastAsia"/>
          <w:sz w:val="24"/>
        </w:rPr>
        <w:t>代表签字：</w:t>
      </w:r>
    </w:p>
    <w:p w14:paraId="73560FF3">
      <w:pPr>
        <w:spacing w:line="560" w:lineRule="exact"/>
        <w:rPr>
          <w:rFonts w:hint="eastAsia" w:asciiTheme="minorEastAsia" w:hAnsiTheme="minorEastAsia" w:cstheme="minorEastAsia"/>
          <w:sz w:val="24"/>
        </w:rPr>
      </w:pPr>
      <w:r>
        <w:rPr>
          <w:rFonts w:hint="eastAsia" w:asciiTheme="minorEastAsia" w:hAnsiTheme="minorEastAsia" w:cstheme="minorEastAsia"/>
          <w:sz w:val="24"/>
        </w:rPr>
        <w:t>日期：   年   月   日</w:t>
      </w:r>
    </w:p>
    <w:p w14:paraId="47AEC474">
      <w:pPr>
        <w:spacing w:line="560" w:lineRule="exact"/>
        <w:rPr>
          <w:rFonts w:hint="eastAsia" w:asciiTheme="minorEastAsia" w:hAnsiTheme="minorEastAsia" w:cstheme="minorEastAsia"/>
          <w:sz w:val="24"/>
        </w:rPr>
      </w:pPr>
    </w:p>
    <w:p w14:paraId="16B374A1">
      <w:pPr>
        <w:spacing w:line="560" w:lineRule="exact"/>
        <w:rPr>
          <w:rFonts w:hint="eastAsia" w:asciiTheme="minorEastAsia" w:hAnsiTheme="minorEastAsia" w:cstheme="minorEastAsia"/>
          <w:sz w:val="24"/>
        </w:rPr>
      </w:pPr>
    </w:p>
    <w:p w14:paraId="7D8DF9D5">
      <w:pPr>
        <w:spacing w:line="560" w:lineRule="exact"/>
        <w:rPr>
          <w:rFonts w:hint="eastAsia" w:asciiTheme="minorEastAsia" w:hAnsiTheme="minorEastAsia" w:cstheme="minorEastAsia"/>
          <w:sz w:val="24"/>
        </w:rPr>
      </w:pPr>
      <w:r>
        <w:rPr>
          <w:rFonts w:hint="eastAsia" w:asciiTheme="minorEastAsia" w:hAnsiTheme="minorEastAsia" w:cstheme="minorEastAsia"/>
          <w:sz w:val="24"/>
        </w:rPr>
        <w:t>丙方（盖章）：</w:t>
      </w:r>
    </w:p>
    <w:p w14:paraId="4AB66D2B">
      <w:pPr>
        <w:spacing w:line="560" w:lineRule="exact"/>
        <w:rPr>
          <w:rFonts w:hint="eastAsia" w:asciiTheme="minorEastAsia" w:hAnsiTheme="minorEastAsia" w:cstheme="minorEastAsia"/>
          <w:sz w:val="24"/>
        </w:rPr>
      </w:pPr>
      <w:r>
        <w:rPr>
          <w:rFonts w:hint="eastAsia" w:asciiTheme="minorEastAsia" w:hAnsiTheme="minorEastAsia" w:cstheme="minorEastAsia"/>
          <w:sz w:val="24"/>
        </w:rPr>
        <w:t>代表签字：</w:t>
      </w:r>
    </w:p>
    <w:p w14:paraId="5386F026">
      <w:pPr>
        <w:spacing w:line="560" w:lineRule="exact"/>
        <w:rPr>
          <w:rFonts w:hint="eastAsia" w:asciiTheme="minorEastAsia" w:hAnsiTheme="minorEastAsia" w:cstheme="minorEastAsia"/>
          <w:sz w:val="24"/>
        </w:rPr>
      </w:pPr>
      <w:r>
        <w:rPr>
          <w:rFonts w:hint="eastAsia" w:asciiTheme="minorEastAsia" w:hAnsiTheme="minorEastAsia" w:cstheme="minorEastAsia"/>
          <w:sz w:val="24"/>
        </w:rPr>
        <w:t>日期：   年   月   日</w:t>
      </w:r>
    </w:p>
    <w:p w14:paraId="7AB7C05C">
      <w:pPr>
        <w:tabs>
          <w:tab w:val="left" w:pos="2696"/>
        </w:tabs>
        <w:spacing w:after="0" w:line="560" w:lineRule="exact"/>
        <w:ind w:firstLine="482" w:firstLineChars="200"/>
        <w:jc w:val="both"/>
        <w:rPr>
          <w:rFonts w:hint="eastAsia" w:ascii="宋体" w:hAnsi="宋体" w:eastAsia="宋体" w:cs="Times New Roman"/>
          <w:b/>
          <w:bCs/>
          <w:sz w:val="24"/>
          <w:szCs w:val="21"/>
          <w14:ligatures w14:val="none"/>
        </w:rPr>
      </w:pPr>
    </w:p>
    <w:p w14:paraId="765B9276">
      <w:pPr>
        <w:tabs>
          <w:tab w:val="left" w:pos="2696"/>
        </w:tabs>
        <w:spacing w:after="0" w:line="560" w:lineRule="exact"/>
        <w:ind w:firstLine="482" w:firstLineChars="200"/>
        <w:jc w:val="both"/>
        <w:rPr>
          <w:rFonts w:hint="eastAsia" w:ascii="宋体" w:hAnsi="宋体" w:eastAsia="宋体" w:cs="Times New Roman"/>
          <w:b/>
          <w:bCs/>
          <w:sz w:val="24"/>
          <w:szCs w:val="21"/>
          <w14:ligatures w14:val="none"/>
        </w:rPr>
      </w:pPr>
    </w:p>
    <w:p w14:paraId="320EC19D">
      <w:pPr>
        <w:tabs>
          <w:tab w:val="left" w:pos="2696"/>
        </w:tabs>
        <w:spacing w:after="0" w:line="560" w:lineRule="exact"/>
        <w:ind w:firstLine="482" w:firstLineChars="200"/>
        <w:jc w:val="both"/>
        <w:rPr>
          <w:rFonts w:hint="eastAsia" w:ascii="宋体" w:hAnsi="宋体" w:eastAsia="宋体" w:cs="Times New Roman"/>
          <w:b/>
          <w:bCs/>
          <w:sz w:val="24"/>
          <w:szCs w:val="21"/>
          <w14:ligatures w14:val="none"/>
        </w:rPr>
      </w:pPr>
    </w:p>
    <w:p w14:paraId="7B266A8A">
      <w:pPr>
        <w:tabs>
          <w:tab w:val="left" w:pos="2696"/>
        </w:tabs>
        <w:spacing w:after="0" w:line="560" w:lineRule="exact"/>
        <w:ind w:firstLine="482" w:firstLineChars="200"/>
        <w:jc w:val="both"/>
        <w:rPr>
          <w:rFonts w:hint="eastAsia" w:ascii="宋体" w:hAnsi="宋体" w:eastAsia="宋体" w:cs="Times New Roman"/>
          <w:b/>
          <w:bCs/>
          <w:sz w:val="24"/>
          <w:szCs w:val="21"/>
          <w14:ligatures w14:val="none"/>
        </w:rPr>
      </w:pPr>
    </w:p>
    <w:p w14:paraId="0BD22D6B">
      <w:pPr>
        <w:tabs>
          <w:tab w:val="left" w:pos="2696"/>
        </w:tabs>
        <w:spacing w:after="0" w:line="560" w:lineRule="exact"/>
        <w:ind w:firstLine="482" w:firstLineChars="200"/>
        <w:jc w:val="both"/>
        <w:rPr>
          <w:rFonts w:hint="eastAsia" w:ascii="宋体" w:hAnsi="宋体" w:eastAsia="宋体" w:cs="Times New Roman"/>
          <w:b/>
          <w:bCs/>
          <w:sz w:val="24"/>
          <w:szCs w:val="21"/>
          <w14:ligatures w14:val="none"/>
        </w:rPr>
      </w:pPr>
    </w:p>
    <w:p w14:paraId="192509F6">
      <w:pPr>
        <w:tabs>
          <w:tab w:val="left" w:pos="2696"/>
        </w:tabs>
        <w:spacing w:after="0" w:line="560" w:lineRule="exact"/>
        <w:ind w:firstLine="482" w:firstLineChars="200"/>
        <w:jc w:val="both"/>
        <w:rPr>
          <w:rFonts w:hint="eastAsia" w:ascii="宋体" w:hAnsi="宋体" w:eastAsia="宋体" w:cs="Times New Roman"/>
          <w:b/>
          <w:bCs/>
          <w:sz w:val="24"/>
          <w:szCs w:val="21"/>
          <w14:ligatures w14:val="none"/>
        </w:rPr>
      </w:pPr>
    </w:p>
    <w:p w14:paraId="3CFBDCA9">
      <w:pPr>
        <w:tabs>
          <w:tab w:val="left" w:pos="2696"/>
        </w:tabs>
        <w:spacing w:after="0" w:line="560" w:lineRule="exact"/>
        <w:ind w:firstLine="482" w:firstLineChars="200"/>
        <w:jc w:val="both"/>
        <w:rPr>
          <w:rFonts w:hint="eastAsia" w:ascii="宋体" w:hAnsi="宋体" w:eastAsia="宋体" w:cs="Times New Roman"/>
          <w:b/>
          <w:bCs/>
          <w:sz w:val="24"/>
          <w:szCs w:val="21"/>
          <w14:ligatures w14:val="none"/>
        </w:rPr>
      </w:pPr>
    </w:p>
    <w:p w14:paraId="254D2560">
      <w:pPr>
        <w:tabs>
          <w:tab w:val="left" w:pos="2696"/>
        </w:tabs>
        <w:spacing w:after="0" w:line="560" w:lineRule="exact"/>
        <w:ind w:firstLine="482" w:firstLineChars="200"/>
        <w:jc w:val="both"/>
        <w:rPr>
          <w:rFonts w:hint="eastAsia" w:ascii="宋体" w:hAnsi="宋体" w:eastAsia="宋体" w:cs="Times New Roman"/>
          <w:b/>
          <w:bCs/>
          <w:sz w:val="24"/>
          <w:szCs w:val="21"/>
          <w14:ligatures w14:val="none"/>
        </w:rPr>
      </w:pPr>
    </w:p>
    <w:p w14:paraId="1B9F8F85">
      <w:pPr>
        <w:tabs>
          <w:tab w:val="left" w:pos="2696"/>
        </w:tabs>
        <w:spacing w:after="0" w:line="560" w:lineRule="exact"/>
        <w:ind w:firstLine="482" w:firstLineChars="200"/>
        <w:jc w:val="both"/>
        <w:rPr>
          <w:rFonts w:hint="eastAsia" w:ascii="宋体" w:hAnsi="宋体" w:eastAsia="宋体" w:cs="Times New Roman"/>
          <w:b/>
          <w:bCs/>
          <w:sz w:val="24"/>
          <w:szCs w:val="21"/>
          <w14:ligatures w14:val="none"/>
        </w:rPr>
      </w:pPr>
    </w:p>
    <w:p w14:paraId="5351AB45">
      <w:pPr>
        <w:tabs>
          <w:tab w:val="left" w:pos="2696"/>
        </w:tabs>
        <w:spacing w:after="0" w:line="560" w:lineRule="exact"/>
        <w:ind w:firstLine="482" w:firstLineChars="200"/>
        <w:jc w:val="both"/>
        <w:rPr>
          <w:rFonts w:hint="eastAsia" w:ascii="宋体" w:hAnsi="宋体" w:eastAsia="宋体" w:cs="Times New Roman"/>
          <w:b/>
          <w:bCs/>
          <w:sz w:val="24"/>
          <w:szCs w:val="21"/>
          <w14:ligatures w14:val="none"/>
        </w:rPr>
      </w:pPr>
    </w:p>
    <w:p w14:paraId="7F245A9E">
      <w:pPr>
        <w:tabs>
          <w:tab w:val="left" w:pos="2696"/>
        </w:tabs>
        <w:spacing w:after="0" w:line="560" w:lineRule="exact"/>
        <w:ind w:firstLine="482" w:firstLineChars="200"/>
        <w:jc w:val="both"/>
        <w:rPr>
          <w:rFonts w:hint="eastAsia" w:ascii="宋体" w:hAnsi="宋体" w:eastAsia="宋体" w:cs="Times New Roman"/>
          <w:b/>
          <w:bCs/>
          <w:sz w:val="24"/>
          <w:szCs w:val="21"/>
          <w14:ligatures w14:val="none"/>
        </w:rPr>
      </w:pPr>
    </w:p>
    <w:p w14:paraId="30B55676">
      <w:pPr>
        <w:tabs>
          <w:tab w:val="left" w:pos="2696"/>
        </w:tabs>
        <w:spacing w:after="0" w:line="560" w:lineRule="exact"/>
        <w:ind w:firstLine="482" w:firstLineChars="200"/>
        <w:jc w:val="both"/>
        <w:rPr>
          <w:rFonts w:hint="eastAsia" w:ascii="宋体" w:hAnsi="宋体" w:eastAsia="宋体" w:cs="Times New Roman"/>
          <w:b/>
          <w:bCs/>
          <w:sz w:val="24"/>
          <w:szCs w:val="21"/>
          <w14:ligatures w14:val="none"/>
        </w:rPr>
      </w:pPr>
    </w:p>
    <w:p w14:paraId="37C2B878">
      <w:pPr>
        <w:tabs>
          <w:tab w:val="left" w:pos="2696"/>
        </w:tabs>
        <w:spacing w:after="0" w:line="560" w:lineRule="exact"/>
        <w:ind w:firstLine="482" w:firstLineChars="200"/>
        <w:jc w:val="both"/>
        <w:rPr>
          <w:rFonts w:hint="eastAsia" w:ascii="宋体" w:hAnsi="宋体" w:eastAsia="宋体" w:cs="Times New Roman"/>
          <w:b/>
          <w:bCs/>
          <w:sz w:val="24"/>
          <w:szCs w:val="21"/>
          <w14:ligatures w14:val="none"/>
        </w:rPr>
      </w:pPr>
    </w:p>
    <w:p w14:paraId="442BB7FF">
      <w:pPr>
        <w:tabs>
          <w:tab w:val="left" w:pos="2696"/>
        </w:tabs>
        <w:spacing w:after="0" w:line="560" w:lineRule="exact"/>
        <w:ind w:firstLine="482" w:firstLineChars="200"/>
        <w:jc w:val="both"/>
        <w:rPr>
          <w:rFonts w:hint="eastAsia" w:ascii="宋体" w:hAnsi="宋体" w:eastAsia="宋体" w:cs="Times New Roman"/>
          <w:b/>
          <w:bCs/>
          <w:sz w:val="24"/>
          <w:szCs w:val="21"/>
          <w14:ligatures w14:val="none"/>
        </w:rPr>
      </w:pPr>
      <w:r>
        <w:rPr>
          <w:rFonts w:hint="eastAsia" w:ascii="宋体" w:hAnsi="宋体" w:eastAsia="宋体" w:cs="Times New Roman"/>
          <w:b/>
          <w:bCs/>
          <w:sz w:val="24"/>
          <w:szCs w:val="21"/>
          <w14:ligatures w14:val="none"/>
        </w:rPr>
        <w:t>合同附件：</w:t>
      </w:r>
    </w:p>
    <w:p w14:paraId="5C3E9AC2">
      <w:pPr>
        <w:tabs>
          <w:tab w:val="left" w:pos="2696"/>
        </w:tabs>
        <w:spacing w:after="0" w:line="560" w:lineRule="exact"/>
        <w:ind w:firstLine="480" w:firstLineChars="200"/>
        <w:jc w:val="both"/>
        <w:rPr>
          <w:rFonts w:hint="eastAsia" w:ascii="宋体" w:hAnsi="宋体" w:eastAsia="宋体" w:cs="Times New Roman"/>
          <w:sz w:val="24"/>
          <w:szCs w:val="21"/>
          <w14:ligatures w14:val="none"/>
        </w:rPr>
      </w:pPr>
      <w:r>
        <w:rPr>
          <w:rFonts w:hint="eastAsia" w:ascii="宋体" w:hAnsi="宋体" w:eastAsia="宋体" w:cs="Times New Roman"/>
          <w:sz w:val="24"/>
          <w:szCs w:val="21"/>
          <w14:ligatures w14:val="none"/>
        </w:rPr>
        <w:t>1. 月饼价格清单</w:t>
      </w:r>
    </w:p>
    <w:p w14:paraId="68C3FE9C">
      <w:pPr>
        <w:tabs>
          <w:tab w:val="left" w:pos="2696"/>
        </w:tabs>
        <w:spacing w:after="0" w:line="560" w:lineRule="exact"/>
        <w:ind w:firstLine="480" w:firstLineChars="200"/>
        <w:jc w:val="both"/>
        <w:rPr>
          <w:rFonts w:hint="eastAsia" w:ascii="宋体" w:hAnsi="宋体" w:eastAsia="宋体" w:cs="Times New Roman"/>
          <w:sz w:val="24"/>
          <w:szCs w:val="21"/>
          <w14:ligatures w14:val="none"/>
        </w:rPr>
      </w:pPr>
      <w:r>
        <w:rPr>
          <w:rFonts w:hint="eastAsia" w:ascii="宋体" w:hAnsi="宋体" w:eastAsia="宋体" w:cs="Times New Roman"/>
          <w:sz w:val="24"/>
          <w:szCs w:val="21"/>
          <w14:ligatures w14:val="none"/>
        </w:rPr>
        <w:t>2.广州中大餐饮管理有限公司供应商供货异常处理方式</w:t>
      </w:r>
    </w:p>
    <w:p w14:paraId="420B835C">
      <w:pPr>
        <w:tabs>
          <w:tab w:val="left" w:pos="2696"/>
        </w:tabs>
        <w:spacing w:after="0" w:line="560" w:lineRule="exact"/>
        <w:ind w:firstLine="480" w:firstLineChars="200"/>
        <w:jc w:val="both"/>
        <w:rPr>
          <w:rFonts w:hint="eastAsia" w:ascii="宋体" w:hAnsi="宋体" w:eastAsia="宋体" w:cs="Times New Roman"/>
          <w:sz w:val="24"/>
          <w:szCs w:val="21"/>
          <w14:ligatures w14:val="none"/>
        </w:rPr>
      </w:pPr>
      <w:r>
        <w:rPr>
          <w:rFonts w:hint="eastAsia" w:ascii="宋体" w:hAnsi="宋体" w:eastAsia="宋体" w:cs="Times New Roman"/>
          <w:sz w:val="24"/>
          <w:szCs w:val="21"/>
          <w14:ligatures w14:val="none"/>
        </w:rPr>
        <w:t>3.广州中大餐饮管理有限公司供应商行为准则</w:t>
      </w:r>
    </w:p>
    <w:p w14:paraId="4EBB2E59">
      <w:pPr>
        <w:tabs>
          <w:tab w:val="left" w:pos="2696"/>
        </w:tabs>
        <w:spacing w:after="0" w:line="560" w:lineRule="exact"/>
        <w:ind w:firstLine="480" w:firstLineChars="200"/>
        <w:jc w:val="both"/>
        <w:rPr>
          <w:rFonts w:hint="eastAsia" w:ascii="宋体" w:hAnsi="宋体" w:eastAsia="宋体" w:cs="Times New Roman"/>
          <w:sz w:val="24"/>
          <w:szCs w:val="21"/>
          <w14:ligatures w14:val="none"/>
        </w:rPr>
      </w:pPr>
      <w:r>
        <w:rPr>
          <w:rFonts w:hint="eastAsia" w:ascii="宋体" w:hAnsi="宋体" w:eastAsia="宋体" w:cs="Times New Roman"/>
          <w:sz w:val="24"/>
          <w:szCs w:val="21"/>
          <w14:ligatures w14:val="none"/>
        </w:rPr>
        <w:t>4.廉洁承诺书</w:t>
      </w:r>
    </w:p>
    <w:p w14:paraId="7DEDE292">
      <w:pPr>
        <w:tabs>
          <w:tab w:val="left" w:pos="2696"/>
        </w:tabs>
        <w:spacing w:after="0" w:line="560" w:lineRule="exact"/>
        <w:ind w:firstLine="480" w:firstLineChars="200"/>
        <w:jc w:val="both"/>
        <w:rPr>
          <w:rFonts w:hint="eastAsia" w:ascii="宋体" w:hAnsi="宋体" w:eastAsia="宋体" w:cs="Times New Roman"/>
          <w:sz w:val="24"/>
          <w:szCs w:val="21"/>
          <w14:ligatures w14:val="none"/>
        </w:rPr>
      </w:pPr>
      <w:r>
        <w:rPr>
          <w:rFonts w:hint="eastAsia" w:ascii="宋体" w:hAnsi="宋体" w:eastAsia="宋体" w:cs="Times New Roman"/>
          <w:sz w:val="24"/>
          <w:szCs w:val="21"/>
          <w14:ligatures w14:val="none"/>
        </w:rPr>
        <w:t>5.供应商保密确认函</w:t>
      </w:r>
    </w:p>
    <w:p w14:paraId="2A19FDDE">
      <w:pPr>
        <w:spacing w:after="0" w:line="360" w:lineRule="auto"/>
        <w:ind w:firstLine="480" w:firstLineChars="200"/>
        <w:jc w:val="both"/>
        <w:rPr>
          <w:rFonts w:hint="eastAsia" w:ascii="宋体" w:hAnsi="宋体" w:eastAsia="宋体" w:cs="宋体"/>
          <w:color w:val="000000"/>
          <w:sz w:val="24"/>
          <w14:ligatures w14:val="none"/>
        </w:rPr>
      </w:pPr>
    </w:p>
    <w:p w14:paraId="422CE6D2">
      <w:pPr>
        <w:spacing w:after="0" w:line="360" w:lineRule="auto"/>
        <w:ind w:firstLine="480" w:firstLineChars="200"/>
        <w:jc w:val="both"/>
        <w:rPr>
          <w:rFonts w:hint="eastAsia" w:ascii="宋体" w:hAnsi="宋体" w:eastAsia="宋体" w:cs="宋体"/>
          <w:color w:val="000000"/>
          <w:sz w:val="24"/>
          <w14:ligatures w14:val="none"/>
        </w:rPr>
      </w:pPr>
    </w:p>
    <w:p w14:paraId="4F9FD078">
      <w:pPr>
        <w:spacing w:after="0" w:line="240" w:lineRule="auto"/>
        <w:ind w:firstLine="480" w:firstLineChars="200"/>
        <w:jc w:val="both"/>
        <w:rPr>
          <w:rFonts w:hint="eastAsia" w:ascii="宋体" w:hAnsi="宋体" w:eastAsia="宋体" w:cs="Times New Roman"/>
          <w:sz w:val="24"/>
          <w:szCs w:val="21"/>
          <w14:ligatures w14:val="none"/>
        </w:rPr>
      </w:pPr>
      <w:r>
        <w:rPr>
          <w:rFonts w:hint="eastAsia" w:ascii="宋体" w:hAnsi="宋体" w:eastAsia="宋体" w:cs="Times New Roman"/>
          <w:sz w:val="24"/>
          <w:szCs w:val="21"/>
          <w14:ligatures w14:val="none"/>
        </w:rPr>
        <w:br w:type="page"/>
      </w:r>
    </w:p>
    <w:p w14:paraId="48FB6D6E">
      <w:pPr>
        <w:spacing w:after="0" w:line="240" w:lineRule="auto"/>
        <w:ind w:firstLine="480" w:firstLineChars="200"/>
        <w:jc w:val="both"/>
        <w:rPr>
          <w:rFonts w:hint="eastAsia" w:ascii="宋体" w:hAnsi="宋体" w:eastAsia="宋体" w:cs="Arial"/>
          <w:sz w:val="24"/>
          <w14:ligatures w14:val="none"/>
        </w:rPr>
      </w:pPr>
      <w:r>
        <w:rPr>
          <w:rFonts w:hint="eastAsia" w:ascii="宋体" w:hAnsi="宋体" w:eastAsia="宋体" w:cs="Arial"/>
          <w:sz w:val="24"/>
          <w14:ligatures w14:val="none"/>
        </w:rPr>
        <w:t>附件 1 中秋月饼价格清单（详见附件8报价清单）</w:t>
      </w:r>
    </w:p>
    <w:p w14:paraId="70A1E129">
      <w:pPr>
        <w:widowControl/>
        <w:ind w:firstLine="480" w:firstLineChars="200"/>
        <w:rPr>
          <w:rFonts w:hint="eastAsia" w:ascii="宋体" w:hAnsi="宋体" w:eastAsia="宋体" w:cs="Arial"/>
          <w:sz w:val="24"/>
          <w14:ligatures w14:val="none"/>
        </w:rPr>
      </w:pPr>
    </w:p>
    <w:p w14:paraId="0D47D7AF">
      <w:pPr>
        <w:widowControl/>
        <w:ind w:firstLine="480" w:firstLineChars="200"/>
        <w:rPr>
          <w:rFonts w:hint="eastAsia" w:ascii="宋体" w:hAnsi="宋体" w:eastAsia="宋体" w:cs="Arial"/>
          <w:sz w:val="24"/>
          <w14:ligatures w14:val="none"/>
        </w:rPr>
      </w:pPr>
      <w:r>
        <w:rPr>
          <w:rFonts w:hint="eastAsia" w:ascii="宋体" w:hAnsi="宋体" w:eastAsia="宋体" w:cs="Arial"/>
          <w:sz w:val="24"/>
          <w14:ligatures w14:val="none"/>
        </w:rPr>
        <w:t>附件2</w:t>
      </w:r>
    </w:p>
    <w:p w14:paraId="182A1CBC">
      <w:pPr>
        <w:spacing w:after="0" w:line="240" w:lineRule="auto"/>
        <w:jc w:val="center"/>
        <w:rPr>
          <w:rFonts w:hint="eastAsia" w:ascii="宋体" w:hAnsi="宋体" w:eastAsia="宋体" w:cs="宋体"/>
          <w:b/>
          <w:bCs/>
          <w:sz w:val="36"/>
          <w:szCs w:val="36"/>
          <w14:ligatures w14:val="none"/>
        </w:rPr>
      </w:pPr>
      <w:r>
        <w:rPr>
          <w:rFonts w:hint="eastAsia" w:ascii="宋体" w:hAnsi="宋体" w:eastAsia="宋体" w:cs="宋体"/>
          <w:b/>
          <w:bCs/>
          <w:sz w:val="36"/>
          <w:szCs w:val="36"/>
          <w14:ligatures w14:val="none"/>
        </w:rPr>
        <w:t>广州中大餐饮管理有限公司</w:t>
      </w:r>
    </w:p>
    <w:p w14:paraId="229D08B4">
      <w:pPr>
        <w:spacing w:after="0" w:line="240" w:lineRule="auto"/>
        <w:jc w:val="center"/>
        <w:rPr>
          <w:rFonts w:hint="eastAsia" w:ascii="宋体" w:hAnsi="宋体" w:eastAsia="宋体" w:cs="宋体"/>
          <w:b/>
          <w:bCs/>
          <w:sz w:val="36"/>
          <w:szCs w:val="36"/>
          <w14:ligatures w14:val="none"/>
        </w:rPr>
      </w:pPr>
      <w:r>
        <w:rPr>
          <w:rFonts w:hint="eastAsia" w:ascii="宋体" w:hAnsi="宋体" w:eastAsia="宋体" w:cs="宋体"/>
          <w:b/>
          <w:bCs/>
          <w:sz w:val="36"/>
          <w:szCs w:val="36"/>
          <w14:ligatures w14:val="none"/>
        </w:rPr>
        <w:t>供应商供货异常处理方式（试行）</w:t>
      </w:r>
    </w:p>
    <w:tbl>
      <w:tblPr>
        <w:tblStyle w:val="14"/>
        <w:tblW w:w="96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87"/>
        <w:gridCol w:w="2033"/>
        <w:gridCol w:w="5165"/>
        <w:gridCol w:w="1197"/>
      </w:tblGrid>
      <w:tr w14:paraId="6B9B6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1287" w:type="dxa"/>
            <w:vAlign w:val="center"/>
          </w:tcPr>
          <w:p w14:paraId="7D63A1E7">
            <w:pPr>
              <w:spacing w:after="0" w:line="240" w:lineRule="auto"/>
              <w:jc w:val="center"/>
              <w:rPr>
                <w:rFonts w:hint="eastAsia" w:ascii="宋体" w:hAnsi="宋体" w:eastAsia="宋体" w:cs="宋体"/>
                <w:b/>
                <w:kern w:val="0"/>
                <w:sz w:val="24"/>
                <w:szCs w:val="20"/>
                <w14:ligatures w14:val="none"/>
              </w:rPr>
            </w:pPr>
            <w:r>
              <w:rPr>
                <w:rFonts w:hint="eastAsia" w:ascii="宋体" w:hAnsi="宋体" w:eastAsia="宋体" w:cs="宋体"/>
                <w:b/>
                <w:kern w:val="0"/>
                <w:sz w:val="24"/>
                <w:szCs w:val="20"/>
                <w14:ligatures w14:val="none"/>
              </w:rPr>
              <w:t>问题类别</w:t>
            </w:r>
          </w:p>
        </w:tc>
        <w:tc>
          <w:tcPr>
            <w:tcW w:w="2033" w:type="dxa"/>
            <w:vAlign w:val="center"/>
          </w:tcPr>
          <w:p w14:paraId="724703D1">
            <w:pPr>
              <w:spacing w:after="0" w:line="240" w:lineRule="auto"/>
              <w:jc w:val="center"/>
              <w:rPr>
                <w:rFonts w:hint="eastAsia" w:ascii="宋体" w:hAnsi="宋体" w:eastAsia="宋体" w:cs="宋体"/>
                <w:b/>
                <w:kern w:val="0"/>
                <w:sz w:val="24"/>
                <w:szCs w:val="20"/>
                <w14:ligatures w14:val="none"/>
              </w:rPr>
            </w:pPr>
            <w:r>
              <w:rPr>
                <w:rFonts w:hint="eastAsia" w:ascii="宋体" w:hAnsi="宋体" w:eastAsia="宋体" w:cs="宋体"/>
                <w:b/>
                <w:kern w:val="0"/>
                <w:sz w:val="24"/>
                <w:szCs w:val="20"/>
                <w14:ligatures w14:val="none"/>
              </w:rPr>
              <w:t>问题说明</w:t>
            </w:r>
          </w:p>
        </w:tc>
        <w:tc>
          <w:tcPr>
            <w:tcW w:w="5165" w:type="dxa"/>
            <w:vAlign w:val="center"/>
          </w:tcPr>
          <w:p w14:paraId="296A4E28">
            <w:pPr>
              <w:spacing w:after="0" w:line="240" w:lineRule="auto"/>
              <w:jc w:val="center"/>
              <w:rPr>
                <w:rFonts w:hint="eastAsia" w:ascii="宋体" w:hAnsi="宋体" w:eastAsia="宋体" w:cs="宋体"/>
                <w:b/>
                <w:kern w:val="0"/>
                <w:sz w:val="24"/>
                <w:szCs w:val="20"/>
                <w14:ligatures w14:val="none"/>
              </w:rPr>
            </w:pPr>
            <w:r>
              <w:rPr>
                <w:rFonts w:hint="eastAsia" w:ascii="宋体" w:hAnsi="宋体" w:eastAsia="宋体" w:cs="宋体"/>
                <w:b/>
                <w:kern w:val="0"/>
                <w:sz w:val="24"/>
                <w:szCs w:val="20"/>
                <w14:ligatures w14:val="none"/>
              </w:rPr>
              <w:t>处理方式</w:t>
            </w:r>
          </w:p>
        </w:tc>
        <w:tc>
          <w:tcPr>
            <w:tcW w:w="1197" w:type="dxa"/>
            <w:vAlign w:val="center"/>
          </w:tcPr>
          <w:p w14:paraId="6E45174A">
            <w:pPr>
              <w:spacing w:after="0" w:line="240" w:lineRule="auto"/>
              <w:jc w:val="center"/>
              <w:rPr>
                <w:rFonts w:hint="eastAsia" w:ascii="宋体" w:hAnsi="宋体" w:eastAsia="宋体" w:cs="宋体"/>
                <w:b/>
                <w:kern w:val="0"/>
                <w:sz w:val="24"/>
                <w:szCs w:val="20"/>
                <w14:ligatures w14:val="none"/>
              </w:rPr>
            </w:pPr>
            <w:r>
              <w:rPr>
                <w:rFonts w:hint="eastAsia" w:ascii="宋体" w:hAnsi="宋体" w:eastAsia="宋体" w:cs="宋体"/>
                <w:b/>
                <w:kern w:val="0"/>
                <w:sz w:val="24"/>
                <w:szCs w:val="20"/>
                <w14:ligatures w14:val="none"/>
              </w:rPr>
              <w:t>备注</w:t>
            </w:r>
          </w:p>
        </w:tc>
      </w:tr>
      <w:tr w14:paraId="2447E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6" w:hRule="atLeast"/>
          <w:jc w:val="center"/>
        </w:trPr>
        <w:tc>
          <w:tcPr>
            <w:tcW w:w="1287" w:type="dxa"/>
            <w:vMerge w:val="restart"/>
            <w:vAlign w:val="center"/>
          </w:tcPr>
          <w:p w14:paraId="448BB24A">
            <w:pPr>
              <w:spacing w:after="0" w:line="240" w:lineRule="auto"/>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送货异常</w:t>
            </w:r>
          </w:p>
        </w:tc>
        <w:tc>
          <w:tcPr>
            <w:tcW w:w="2033" w:type="dxa"/>
            <w:vAlign w:val="center"/>
          </w:tcPr>
          <w:p w14:paraId="3E439CD2">
            <w:pPr>
              <w:spacing w:after="0" w:line="240" w:lineRule="auto"/>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延迟交货</w:t>
            </w:r>
          </w:p>
        </w:tc>
        <w:tc>
          <w:tcPr>
            <w:tcW w:w="5165" w:type="dxa"/>
            <w:vAlign w:val="center"/>
          </w:tcPr>
          <w:p w14:paraId="42E3F942">
            <w:pPr>
              <w:spacing w:after="0" w:line="240" w:lineRule="auto"/>
              <w:jc w:val="both"/>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一、当天送货迟到、补货不及时：</w:t>
            </w:r>
          </w:p>
          <w:p w14:paraId="3EDE3211">
            <w:pPr>
              <w:spacing w:after="0" w:line="240" w:lineRule="auto"/>
              <w:jc w:val="both"/>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1、一学期内第一次延迟交货，进行口头警告并记录存档；</w:t>
            </w:r>
          </w:p>
          <w:p w14:paraId="6D338EE3">
            <w:pPr>
              <w:spacing w:after="0" w:line="240" w:lineRule="auto"/>
              <w:jc w:val="both"/>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2、一学期内第二次延迟交货，扣除当批该品种总货款的20％作为处罚，出具供应商整改通知单要求整改；</w:t>
            </w:r>
          </w:p>
          <w:p w14:paraId="6DFD9D10">
            <w:pPr>
              <w:spacing w:after="0" w:line="240" w:lineRule="auto"/>
              <w:jc w:val="both"/>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3、一学期内第三次延迟交货，扣除当批该品种总货款的50％作为处罚，出具供应商整改通知单要求整改；</w:t>
            </w:r>
          </w:p>
          <w:p w14:paraId="357F5FBB">
            <w:pPr>
              <w:spacing w:after="0" w:line="240" w:lineRule="auto"/>
              <w:jc w:val="both"/>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4、一学期内第四次延迟交货，扣除当批该品种总货款的100％作为处罚，出具供应商整改通知单要求整改，情节严重的约谈。</w:t>
            </w:r>
          </w:p>
          <w:p w14:paraId="72885894">
            <w:pPr>
              <w:spacing w:after="0" w:line="240" w:lineRule="auto"/>
              <w:jc w:val="both"/>
              <w:rPr>
                <w:rFonts w:hint="eastAsia" w:ascii="宋体" w:hAnsi="宋体" w:eastAsia="宋体" w:cs="宋体"/>
                <w:kern w:val="0"/>
                <w:sz w:val="21"/>
                <w:szCs w:val="21"/>
                <w14:ligatures w14:val="none"/>
              </w:rPr>
            </w:pPr>
          </w:p>
          <w:p w14:paraId="73BB2930">
            <w:pPr>
              <w:spacing w:after="0" w:line="240" w:lineRule="auto"/>
              <w:jc w:val="both"/>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不可抗力因素除外（台风，洪水，地震，冰雹，疫情区域管制）。</w:t>
            </w:r>
          </w:p>
          <w:p w14:paraId="6E28075A">
            <w:pPr>
              <w:spacing w:after="0" w:line="240" w:lineRule="auto"/>
              <w:jc w:val="both"/>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以下情况可酌情处理：送货途中坏车，马上向下单部门报备，尽快安排转车/重新配送/就近采购减少对使用部门的影响，同时提供水印相机拍照，收费路段提供单据。</w:t>
            </w:r>
          </w:p>
        </w:tc>
        <w:tc>
          <w:tcPr>
            <w:tcW w:w="1197" w:type="dxa"/>
            <w:vMerge w:val="restart"/>
            <w:vAlign w:val="center"/>
          </w:tcPr>
          <w:p w14:paraId="10AEFDB6">
            <w:pPr>
              <w:spacing w:after="0" w:line="240" w:lineRule="auto"/>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列入供应商年度考核依据</w:t>
            </w:r>
          </w:p>
        </w:tc>
      </w:tr>
      <w:tr w14:paraId="6DEF3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jc w:val="center"/>
        </w:trPr>
        <w:tc>
          <w:tcPr>
            <w:tcW w:w="1287" w:type="dxa"/>
            <w:vMerge w:val="continue"/>
            <w:vAlign w:val="center"/>
          </w:tcPr>
          <w:p w14:paraId="754B2D33">
            <w:pPr>
              <w:spacing w:after="0" w:line="240" w:lineRule="auto"/>
              <w:jc w:val="center"/>
              <w:rPr>
                <w:rFonts w:hint="eastAsia" w:ascii="宋体" w:hAnsi="宋体" w:eastAsia="宋体" w:cs="宋体"/>
                <w:kern w:val="0"/>
                <w:sz w:val="21"/>
                <w:szCs w:val="21"/>
                <w14:ligatures w14:val="none"/>
              </w:rPr>
            </w:pPr>
          </w:p>
        </w:tc>
        <w:tc>
          <w:tcPr>
            <w:tcW w:w="2033" w:type="dxa"/>
            <w:vAlign w:val="center"/>
          </w:tcPr>
          <w:p w14:paraId="6011E168">
            <w:pPr>
              <w:spacing w:after="0" w:line="240" w:lineRule="auto"/>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少送错漏</w:t>
            </w:r>
          </w:p>
        </w:tc>
        <w:tc>
          <w:tcPr>
            <w:tcW w:w="5165" w:type="dxa"/>
            <w:vAlign w:val="center"/>
          </w:tcPr>
          <w:p w14:paraId="29013191">
            <w:pPr>
              <w:spacing w:after="0" w:line="240" w:lineRule="auto"/>
              <w:jc w:val="both"/>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一、供应商按公司使用部门要求及时补货，补货不及时按延迟交货处理方式处理，使用部门无需补货的：</w:t>
            </w:r>
          </w:p>
          <w:p w14:paraId="2DD758E6">
            <w:pPr>
              <w:spacing w:after="0" w:line="240" w:lineRule="auto"/>
              <w:jc w:val="both"/>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1、一学期内出现第一次，进行口头警告并记录存档；</w:t>
            </w:r>
          </w:p>
          <w:p w14:paraId="397A4580">
            <w:pPr>
              <w:spacing w:after="0" w:line="240" w:lineRule="auto"/>
              <w:jc w:val="both"/>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2、一学期内出现第二次，扣除当批该品种总货款的10％作为处罚，出具供应商整改通知单要求整改；</w:t>
            </w:r>
          </w:p>
          <w:p w14:paraId="22C90017">
            <w:pPr>
              <w:spacing w:after="0" w:line="240" w:lineRule="auto"/>
              <w:jc w:val="both"/>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3、一学期内出现第三次，扣除当批该品种总货款的20％作为处罚，出具供应商整改通知单要求整改；</w:t>
            </w:r>
          </w:p>
          <w:p w14:paraId="14153BDD">
            <w:pPr>
              <w:spacing w:after="0" w:line="240" w:lineRule="auto"/>
              <w:jc w:val="both"/>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4一学期度内出现第四次，扣除当批该品种总货款的50％作为处罚，出具供应商整改通知单要求整改，情节严重的约谈。</w:t>
            </w:r>
          </w:p>
          <w:p w14:paraId="0DA64808">
            <w:pPr>
              <w:spacing w:after="0" w:line="240" w:lineRule="auto"/>
              <w:jc w:val="both"/>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二、未按订单或补货到货时间送货，影响生产使用须公司启动应急采购从其他供应商调货/市场采买的</w:t>
            </w:r>
          </w:p>
          <w:p w14:paraId="3F261DF8">
            <w:pPr>
              <w:spacing w:after="0" w:line="240" w:lineRule="auto"/>
              <w:jc w:val="both"/>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1、一学期内出现第一次，从其他供应商/市场采买的差价由缺货方承担，情节严重的另按应急采购当批该品种总货款的10%扣罚，出具供应商整改通知单要求整改；</w:t>
            </w:r>
          </w:p>
          <w:p w14:paraId="34587C60">
            <w:pPr>
              <w:spacing w:after="0" w:line="240" w:lineRule="auto"/>
              <w:jc w:val="both"/>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2、一学期内出现第二次及以上，从其他供应商/市场采买的差价由缺货方承担，按应急采购当批该品种总货款的20%扣罚，出具供应商整改通知单要求整改。</w:t>
            </w:r>
          </w:p>
        </w:tc>
        <w:tc>
          <w:tcPr>
            <w:tcW w:w="1197" w:type="dxa"/>
            <w:vMerge w:val="continue"/>
            <w:vAlign w:val="center"/>
          </w:tcPr>
          <w:p w14:paraId="41A83B14">
            <w:pPr>
              <w:spacing w:after="0" w:line="240" w:lineRule="auto"/>
              <w:jc w:val="center"/>
              <w:rPr>
                <w:rFonts w:hint="eastAsia" w:ascii="宋体" w:hAnsi="宋体" w:eastAsia="宋体" w:cs="宋体"/>
                <w:kern w:val="0"/>
                <w:sz w:val="21"/>
                <w:szCs w:val="21"/>
                <w14:ligatures w14:val="none"/>
              </w:rPr>
            </w:pPr>
          </w:p>
        </w:tc>
      </w:tr>
      <w:tr w14:paraId="72808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87" w:type="dxa"/>
            <w:vMerge w:val="continue"/>
            <w:vAlign w:val="center"/>
          </w:tcPr>
          <w:p w14:paraId="0E1E7776">
            <w:pPr>
              <w:spacing w:after="0" w:line="240" w:lineRule="auto"/>
              <w:jc w:val="center"/>
              <w:rPr>
                <w:rFonts w:hint="eastAsia" w:ascii="宋体" w:hAnsi="宋体" w:eastAsia="宋体" w:cs="宋体"/>
                <w:kern w:val="0"/>
                <w:sz w:val="21"/>
                <w:szCs w:val="21"/>
                <w14:ligatures w14:val="none"/>
              </w:rPr>
            </w:pPr>
          </w:p>
        </w:tc>
        <w:tc>
          <w:tcPr>
            <w:tcW w:w="2033" w:type="dxa"/>
            <w:vAlign w:val="center"/>
          </w:tcPr>
          <w:p w14:paraId="41D99A59">
            <w:pPr>
              <w:spacing w:after="0" w:line="240" w:lineRule="auto"/>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验收产品信息不符（如包含缺斤少两、货不对版、标签错漏、包装袋受损漏气外观脏（单包送货）、周转箱脏、车辆没有清洁消毒、过期产品等）</w:t>
            </w:r>
          </w:p>
        </w:tc>
        <w:tc>
          <w:tcPr>
            <w:tcW w:w="5165" w:type="dxa"/>
            <w:vAlign w:val="center"/>
          </w:tcPr>
          <w:p w14:paraId="54030FD0">
            <w:pPr>
              <w:spacing w:after="0" w:line="240" w:lineRule="auto"/>
              <w:jc w:val="both"/>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1、同一类异常一学期内出现第一次，进行口头警告并记录存档；</w:t>
            </w:r>
          </w:p>
          <w:p w14:paraId="14828358">
            <w:pPr>
              <w:spacing w:after="0" w:line="240" w:lineRule="auto"/>
              <w:jc w:val="both"/>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2、同一类异常一学期内出现第二次，扣除当批该品种总货款的10％作为处罚，出具供应商整改通知单要求整改；</w:t>
            </w:r>
          </w:p>
          <w:p w14:paraId="6DF58635">
            <w:pPr>
              <w:spacing w:after="0" w:line="240" w:lineRule="auto"/>
              <w:jc w:val="both"/>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3、同一类异常一学期内出现第三次，扣除当批该品种总货款的20％作为处罚，出具供应商整改通知单要求整改；</w:t>
            </w:r>
          </w:p>
          <w:p w14:paraId="7F2A84C7">
            <w:pPr>
              <w:spacing w:after="0" w:line="240" w:lineRule="auto"/>
              <w:jc w:val="both"/>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4、同一类异常一学期内出现第四次，扣除当批该品种总货款的50％作为处罚，出具供应商整改通知单要求整改，情节严重的约谈。</w:t>
            </w:r>
          </w:p>
          <w:p w14:paraId="1D34CB4B">
            <w:pPr>
              <w:spacing w:after="0" w:line="240" w:lineRule="auto"/>
              <w:jc w:val="both"/>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特殊情况：冻品类产品净重正负偏差值在±0.1kg以内属于正常，不予扣罚。</w:t>
            </w:r>
          </w:p>
          <w:p w14:paraId="0D67BF9C">
            <w:pPr>
              <w:spacing w:after="0" w:line="240" w:lineRule="auto"/>
              <w:jc w:val="both"/>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超出保质期：</w:t>
            </w:r>
          </w:p>
          <w:p w14:paraId="602E8276">
            <w:pPr>
              <w:spacing w:after="0" w:line="240" w:lineRule="auto"/>
              <w:jc w:val="both"/>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1、一学期内出现第一次，退货，扣除当批该品种总货款的50％作为处罚，出具供应商整改通知单要求整改；</w:t>
            </w:r>
          </w:p>
          <w:p w14:paraId="734FCAF2">
            <w:pPr>
              <w:spacing w:after="0" w:line="240" w:lineRule="auto"/>
              <w:jc w:val="both"/>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2、一学期内出现第二次，扣除当批该品种总货款的100％作为处罚，出具供应商整改通知单要求整改，暂停供应，情节严重的约谈。</w:t>
            </w:r>
          </w:p>
        </w:tc>
        <w:tc>
          <w:tcPr>
            <w:tcW w:w="1197" w:type="dxa"/>
            <w:vMerge w:val="continue"/>
            <w:vAlign w:val="center"/>
          </w:tcPr>
          <w:p w14:paraId="57299D33">
            <w:pPr>
              <w:spacing w:after="0" w:line="240" w:lineRule="auto"/>
              <w:jc w:val="center"/>
              <w:rPr>
                <w:rFonts w:hint="eastAsia" w:ascii="宋体" w:hAnsi="宋体" w:eastAsia="宋体" w:cs="宋体"/>
                <w:kern w:val="0"/>
                <w:sz w:val="21"/>
                <w:szCs w:val="21"/>
                <w14:ligatures w14:val="none"/>
              </w:rPr>
            </w:pPr>
          </w:p>
        </w:tc>
      </w:tr>
      <w:tr w14:paraId="10096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287" w:type="dxa"/>
            <w:vMerge w:val="continue"/>
            <w:vAlign w:val="center"/>
          </w:tcPr>
          <w:p w14:paraId="48D2E770">
            <w:pPr>
              <w:spacing w:after="0" w:line="240" w:lineRule="auto"/>
              <w:jc w:val="center"/>
              <w:rPr>
                <w:rFonts w:hint="eastAsia" w:ascii="宋体" w:hAnsi="宋体" w:eastAsia="宋体" w:cs="宋体"/>
                <w:kern w:val="0"/>
                <w:sz w:val="21"/>
                <w:szCs w:val="21"/>
                <w14:ligatures w14:val="none"/>
              </w:rPr>
            </w:pPr>
          </w:p>
        </w:tc>
        <w:tc>
          <w:tcPr>
            <w:tcW w:w="2033" w:type="dxa"/>
            <w:vAlign w:val="center"/>
          </w:tcPr>
          <w:p w14:paraId="5E05A235">
            <w:pPr>
              <w:spacing w:after="0" w:line="240" w:lineRule="auto"/>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缺证、验收检测不合格</w:t>
            </w:r>
          </w:p>
          <w:p w14:paraId="192CA206">
            <w:pPr>
              <w:spacing w:after="0" w:line="240" w:lineRule="auto"/>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（如缺证缺票，票据信息有误，送货单未盖章等）</w:t>
            </w:r>
          </w:p>
        </w:tc>
        <w:tc>
          <w:tcPr>
            <w:tcW w:w="5165" w:type="dxa"/>
            <w:vAlign w:val="center"/>
          </w:tcPr>
          <w:p w14:paraId="605080B1">
            <w:pPr>
              <w:spacing w:after="0" w:line="240" w:lineRule="auto"/>
              <w:jc w:val="both"/>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1、同一品种一学期内出现第一次，应及时补证，口头警告并记录存档；</w:t>
            </w:r>
          </w:p>
          <w:p w14:paraId="0B65EF34">
            <w:pPr>
              <w:spacing w:after="0" w:line="240" w:lineRule="auto"/>
              <w:jc w:val="both"/>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2、同一品种一学期内出现第二次，应及时补证，扣除当批该品种总货款的10％作为处罚，出具供应商整改通知单要求整改；</w:t>
            </w:r>
          </w:p>
          <w:p w14:paraId="60965CC1">
            <w:pPr>
              <w:spacing w:after="0" w:line="240" w:lineRule="auto"/>
              <w:jc w:val="both"/>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3、同一品种一学期内出现第三次，待有提供关键证再收货，扣除当批该品种总货款的20％作为处罚，出具供应商整改通知单要求整改。</w:t>
            </w:r>
          </w:p>
          <w:p w14:paraId="0371412B">
            <w:pPr>
              <w:spacing w:after="0" w:line="240" w:lineRule="auto"/>
              <w:jc w:val="both"/>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4、同一品种一学期内出现第四次，待有提供关键证再收货，扣除当批该品种总货款的50％作为处罚，出具供应商整改通知单要求整改，情节严重的约谈。</w:t>
            </w:r>
          </w:p>
          <w:p w14:paraId="2ADDB510">
            <w:pPr>
              <w:spacing w:after="0" w:line="240" w:lineRule="auto"/>
              <w:jc w:val="both"/>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（缺证、及时补证说明：缺证的认定，指在规定的缓冲期时间内（4小时内），仍未能正确完整的提供符合要求的票证的情况。如未随货提供证件，但在规定期限内完成补证，则不在此列）</w:t>
            </w:r>
          </w:p>
        </w:tc>
        <w:tc>
          <w:tcPr>
            <w:tcW w:w="1197" w:type="dxa"/>
            <w:vMerge w:val="continue"/>
            <w:vAlign w:val="center"/>
          </w:tcPr>
          <w:p w14:paraId="1677E142">
            <w:pPr>
              <w:spacing w:after="0" w:line="240" w:lineRule="auto"/>
              <w:jc w:val="center"/>
              <w:rPr>
                <w:rFonts w:hint="eastAsia" w:ascii="宋体" w:hAnsi="宋体" w:eastAsia="宋体" w:cs="宋体"/>
                <w:kern w:val="0"/>
                <w:sz w:val="21"/>
                <w:szCs w:val="21"/>
                <w14:ligatures w14:val="none"/>
              </w:rPr>
            </w:pPr>
          </w:p>
        </w:tc>
      </w:tr>
      <w:tr w14:paraId="55DF4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1287" w:type="dxa"/>
            <w:vMerge w:val="restart"/>
            <w:vAlign w:val="center"/>
          </w:tcPr>
          <w:p w14:paraId="54E20ACE">
            <w:pPr>
              <w:spacing w:after="0" w:line="240" w:lineRule="auto"/>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品质问题</w:t>
            </w:r>
          </w:p>
        </w:tc>
        <w:tc>
          <w:tcPr>
            <w:tcW w:w="2033" w:type="dxa"/>
            <w:vAlign w:val="center"/>
          </w:tcPr>
          <w:p w14:paraId="7EC571E6">
            <w:pPr>
              <w:spacing w:after="0" w:line="240" w:lineRule="auto"/>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品质问题让步接收</w:t>
            </w:r>
          </w:p>
        </w:tc>
        <w:tc>
          <w:tcPr>
            <w:tcW w:w="5165" w:type="dxa"/>
            <w:vAlign w:val="center"/>
          </w:tcPr>
          <w:p w14:paraId="77AF886D">
            <w:pPr>
              <w:spacing w:after="0" w:line="240" w:lineRule="auto"/>
              <w:jc w:val="both"/>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如有轻微问题，不影响质量安全和使用的，可进行让步接受。同时反馈供应商整改。</w:t>
            </w:r>
          </w:p>
        </w:tc>
        <w:tc>
          <w:tcPr>
            <w:tcW w:w="1197" w:type="dxa"/>
            <w:vMerge w:val="restart"/>
            <w:vAlign w:val="center"/>
          </w:tcPr>
          <w:p w14:paraId="2411B1D0">
            <w:pPr>
              <w:spacing w:after="0" w:line="240" w:lineRule="auto"/>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列入供应商年度考核依据</w:t>
            </w:r>
          </w:p>
        </w:tc>
      </w:tr>
      <w:tr w14:paraId="716C1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287" w:type="dxa"/>
            <w:vMerge w:val="continue"/>
            <w:vAlign w:val="center"/>
          </w:tcPr>
          <w:p w14:paraId="71D69D31">
            <w:pPr>
              <w:spacing w:after="0" w:line="240" w:lineRule="auto"/>
              <w:jc w:val="center"/>
              <w:rPr>
                <w:rFonts w:hint="eastAsia" w:ascii="宋体" w:hAnsi="宋体" w:eastAsia="宋体" w:cs="宋体"/>
                <w:kern w:val="0"/>
                <w:sz w:val="21"/>
                <w:szCs w:val="21"/>
                <w14:ligatures w14:val="none"/>
              </w:rPr>
            </w:pPr>
          </w:p>
        </w:tc>
        <w:tc>
          <w:tcPr>
            <w:tcW w:w="2033" w:type="dxa"/>
            <w:vAlign w:val="center"/>
          </w:tcPr>
          <w:p w14:paraId="5159620D">
            <w:pPr>
              <w:spacing w:after="0" w:line="240" w:lineRule="auto"/>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含冰量超标</w:t>
            </w:r>
          </w:p>
        </w:tc>
        <w:tc>
          <w:tcPr>
            <w:tcW w:w="5165" w:type="dxa"/>
            <w:vAlign w:val="center"/>
          </w:tcPr>
          <w:p w14:paraId="6D13734C">
            <w:pPr>
              <w:spacing w:after="0" w:line="240" w:lineRule="auto"/>
              <w:jc w:val="both"/>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产品含冰量超出定价标准：</w:t>
            </w:r>
          </w:p>
          <w:p w14:paraId="1E3B1E00">
            <w:pPr>
              <w:spacing w:after="0" w:line="240" w:lineRule="auto"/>
              <w:jc w:val="both"/>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一、含冰量超出定价标准5%以内的情况：扣减当批次超出定标含冰量部分差额或已使用的扣减差额未使用的库存当批次全部换货符合要求产品，出具供应商整改通知单要求整改。</w:t>
            </w:r>
          </w:p>
          <w:p w14:paraId="5CFAB559">
            <w:pPr>
              <w:spacing w:after="0" w:line="240" w:lineRule="auto"/>
              <w:jc w:val="both"/>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二、含冰量超出定价标准5%及以上的情况：</w:t>
            </w:r>
          </w:p>
          <w:p w14:paraId="190BFEE3">
            <w:pPr>
              <w:spacing w:after="0" w:line="240" w:lineRule="auto"/>
              <w:jc w:val="both"/>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扣减当批次超出定标含冰量部分差额或已使用的扣减差额未使用的库存当批次全部换货符合要求产品，另扣罚当批该品种总货款的5％作为处罚，出具供应商整改通知单要求整改。</w:t>
            </w:r>
          </w:p>
        </w:tc>
        <w:tc>
          <w:tcPr>
            <w:tcW w:w="1197" w:type="dxa"/>
            <w:vMerge w:val="continue"/>
            <w:vAlign w:val="center"/>
          </w:tcPr>
          <w:p w14:paraId="7C3DFEFC">
            <w:pPr>
              <w:spacing w:after="0" w:line="240" w:lineRule="auto"/>
              <w:jc w:val="center"/>
              <w:rPr>
                <w:rFonts w:hint="eastAsia" w:ascii="宋体" w:hAnsi="宋体" w:eastAsia="宋体" w:cs="宋体"/>
                <w:kern w:val="0"/>
                <w:sz w:val="21"/>
                <w:szCs w:val="21"/>
                <w14:ligatures w14:val="none"/>
              </w:rPr>
            </w:pPr>
          </w:p>
        </w:tc>
      </w:tr>
      <w:tr w14:paraId="2CA10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1287" w:type="dxa"/>
            <w:vMerge w:val="continue"/>
            <w:vAlign w:val="center"/>
          </w:tcPr>
          <w:p w14:paraId="5AA4A691">
            <w:pPr>
              <w:spacing w:after="0" w:line="240" w:lineRule="auto"/>
              <w:jc w:val="center"/>
              <w:rPr>
                <w:rFonts w:hint="eastAsia" w:ascii="宋体" w:hAnsi="宋体" w:eastAsia="宋体" w:cs="宋体"/>
                <w:kern w:val="0"/>
                <w:sz w:val="21"/>
                <w:szCs w:val="21"/>
                <w14:ligatures w14:val="none"/>
              </w:rPr>
            </w:pPr>
          </w:p>
        </w:tc>
        <w:tc>
          <w:tcPr>
            <w:tcW w:w="2033" w:type="dxa"/>
            <w:vAlign w:val="center"/>
          </w:tcPr>
          <w:p w14:paraId="7996DC38">
            <w:pPr>
              <w:spacing w:after="0" w:line="240" w:lineRule="auto"/>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品质问题退货</w:t>
            </w:r>
          </w:p>
          <w:p w14:paraId="2B8B3E7D">
            <w:pPr>
              <w:spacing w:after="0" w:line="240" w:lineRule="auto"/>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（食材腐败、变质、发霉、淋巴肉等）（红线问题）</w:t>
            </w:r>
          </w:p>
        </w:tc>
        <w:tc>
          <w:tcPr>
            <w:tcW w:w="5165" w:type="dxa"/>
            <w:vAlign w:val="center"/>
          </w:tcPr>
          <w:p w14:paraId="17E91BDA">
            <w:pPr>
              <w:spacing w:after="0" w:line="240" w:lineRule="auto"/>
              <w:jc w:val="both"/>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1、同一品种一学期内出现第一次，扣除当批该品种总货款的20％作为处罚，出具供应商整改通知单要求整改；</w:t>
            </w:r>
          </w:p>
          <w:p w14:paraId="64DE36E3">
            <w:pPr>
              <w:spacing w:after="0" w:line="240" w:lineRule="auto"/>
              <w:jc w:val="both"/>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2、同一品种一学期内出现第二次，扣除当批该品种总货款的50％作为处罚，出具供应商整改通知单要求整改；</w:t>
            </w:r>
          </w:p>
          <w:p w14:paraId="3BEC8140">
            <w:pPr>
              <w:spacing w:after="0" w:line="240" w:lineRule="auto"/>
              <w:jc w:val="both"/>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3、同一品种一学期内出现第三次，扣除当批该品种总货款的100％作为处罚，出具供应商整改通知单要求整改，情节严重的约谈，暂停供应至提供第三方检测证明。</w:t>
            </w:r>
          </w:p>
        </w:tc>
        <w:tc>
          <w:tcPr>
            <w:tcW w:w="1197" w:type="dxa"/>
            <w:vMerge w:val="continue"/>
            <w:vAlign w:val="center"/>
          </w:tcPr>
          <w:p w14:paraId="7B274578">
            <w:pPr>
              <w:spacing w:after="0" w:line="240" w:lineRule="auto"/>
              <w:jc w:val="center"/>
              <w:rPr>
                <w:rFonts w:hint="eastAsia" w:ascii="宋体" w:hAnsi="宋体" w:eastAsia="宋体" w:cs="宋体"/>
                <w:kern w:val="0"/>
                <w:sz w:val="21"/>
                <w:szCs w:val="21"/>
                <w14:ligatures w14:val="none"/>
              </w:rPr>
            </w:pPr>
          </w:p>
        </w:tc>
      </w:tr>
      <w:tr w14:paraId="601E4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4" w:hRule="atLeast"/>
          <w:jc w:val="center"/>
        </w:trPr>
        <w:tc>
          <w:tcPr>
            <w:tcW w:w="1287" w:type="dxa"/>
            <w:vMerge w:val="continue"/>
            <w:vAlign w:val="center"/>
          </w:tcPr>
          <w:p w14:paraId="38DF4695">
            <w:pPr>
              <w:spacing w:after="0" w:line="240" w:lineRule="auto"/>
              <w:jc w:val="center"/>
              <w:rPr>
                <w:rFonts w:hint="eastAsia" w:ascii="宋体" w:hAnsi="宋体" w:eastAsia="宋体" w:cs="宋体"/>
                <w:kern w:val="0"/>
                <w:sz w:val="21"/>
                <w:szCs w:val="21"/>
                <w14:ligatures w14:val="none"/>
              </w:rPr>
            </w:pPr>
          </w:p>
        </w:tc>
        <w:tc>
          <w:tcPr>
            <w:tcW w:w="2033" w:type="dxa"/>
            <w:vAlign w:val="center"/>
          </w:tcPr>
          <w:p w14:paraId="68A3929A">
            <w:pPr>
              <w:spacing w:after="0" w:line="240" w:lineRule="auto"/>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品质问题挑选</w:t>
            </w:r>
          </w:p>
        </w:tc>
        <w:tc>
          <w:tcPr>
            <w:tcW w:w="5165" w:type="dxa"/>
            <w:vAlign w:val="center"/>
          </w:tcPr>
          <w:p w14:paraId="663BFAEE">
            <w:pPr>
              <w:numPr>
                <w:ilvl w:val="0"/>
                <w:numId w:val="25"/>
              </w:numPr>
              <w:spacing w:after="0" w:line="240" w:lineRule="auto"/>
              <w:ind w:firstLine="0"/>
              <w:jc w:val="both"/>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如因各种原因，需要挑选的，由供应商进行现场挑选；</w:t>
            </w:r>
          </w:p>
          <w:p w14:paraId="26166643">
            <w:pPr>
              <w:spacing w:after="0" w:line="240" w:lineRule="auto"/>
              <w:jc w:val="both"/>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2、使用方挑选的，按2倍的人工成本进行处罚。</w:t>
            </w:r>
          </w:p>
        </w:tc>
        <w:tc>
          <w:tcPr>
            <w:tcW w:w="1197" w:type="dxa"/>
            <w:vMerge w:val="continue"/>
            <w:vAlign w:val="center"/>
          </w:tcPr>
          <w:p w14:paraId="445DDE19">
            <w:pPr>
              <w:spacing w:after="0" w:line="240" w:lineRule="auto"/>
              <w:jc w:val="center"/>
              <w:rPr>
                <w:rFonts w:hint="eastAsia" w:ascii="宋体" w:hAnsi="宋体" w:eastAsia="宋体" w:cs="宋体"/>
                <w:kern w:val="0"/>
                <w:sz w:val="21"/>
                <w:szCs w:val="21"/>
                <w14:ligatures w14:val="none"/>
              </w:rPr>
            </w:pPr>
          </w:p>
        </w:tc>
      </w:tr>
      <w:tr w14:paraId="53FDF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3" w:hRule="atLeast"/>
          <w:jc w:val="center"/>
        </w:trPr>
        <w:tc>
          <w:tcPr>
            <w:tcW w:w="1287" w:type="dxa"/>
            <w:vMerge w:val="continue"/>
            <w:vAlign w:val="center"/>
          </w:tcPr>
          <w:p w14:paraId="03FECE4C">
            <w:pPr>
              <w:spacing w:after="0" w:line="240" w:lineRule="auto"/>
              <w:jc w:val="center"/>
              <w:rPr>
                <w:rFonts w:hint="eastAsia" w:ascii="宋体" w:hAnsi="宋体" w:eastAsia="宋体" w:cs="宋体"/>
                <w:kern w:val="0"/>
                <w:sz w:val="21"/>
                <w:szCs w:val="21"/>
                <w14:ligatures w14:val="none"/>
              </w:rPr>
            </w:pPr>
          </w:p>
        </w:tc>
        <w:tc>
          <w:tcPr>
            <w:tcW w:w="2033" w:type="dxa"/>
            <w:vAlign w:val="center"/>
          </w:tcPr>
          <w:p w14:paraId="613CF028">
            <w:pPr>
              <w:spacing w:after="0" w:line="240" w:lineRule="auto"/>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投诉（供应商原因）</w:t>
            </w:r>
          </w:p>
        </w:tc>
        <w:tc>
          <w:tcPr>
            <w:tcW w:w="5165" w:type="dxa"/>
            <w:vAlign w:val="center"/>
          </w:tcPr>
          <w:p w14:paraId="79D6115C">
            <w:pPr>
              <w:spacing w:after="0" w:line="240" w:lineRule="auto"/>
              <w:jc w:val="both"/>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1、使用单位（食堂、中央厨房）投诉，根据实际调查情况进行补、退、换货处理，影响到生产使用的，另给予每次1000元处罚，以作警示；情节严重可罚1000元以上，处罚金额依事项性质及造成影响程度决定。</w:t>
            </w:r>
          </w:p>
          <w:p w14:paraId="2464E6AB">
            <w:pPr>
              <w:spacing w:after="0" w:line="240" w:lineRule="auto"/>
              <w:jc w:val="both"/>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2、顾客（消费者）投诉，按赔付金额的两倍处罚，并承担相关的法律责任及我方损失。</w:t>
            </w:r>
          </w:p>
        </w:tc>
        <w:tc>
          <w:tcPr>
            <w:tcW w:w="1197" w:type="dxa"/>
            <w:vMerge w:val="continue"/>
            <w:vAlign w:val="center"/>
          </w:tcPr>
          <w:p w14:paraId="4DF1E57E">
            <w:pPr>
              <w:spacing w:after="0" w:line="240" w:lineRule="auto"/>
              <w:jc w:val="center"/>
              <w:rPr>
                <w:rFonts w:hint="eastAsia" w:ascii="宋体" w:hAnsi="宋体" w:eastAsia="宋体" w:cs="宋体"/>
                <w:kern w:val="0"/>
                <w:sz w:val="21"/>
                <w:szCs w:val="21"/>
                <w14:ligatures w14:val="none"/>
              </w:rPr>
            </w:pPr>
          </w:p>
        </w:tc>
      </w:tr>
      <w:tr w14:paraId="1924D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3" w:hRule="atLeast"/>
          <w:jc w:val="center"/>
        </w:trPr>
        <w:tc>
          <w:tcPr>
            <w:tcW w:w="1287" w:type="dxa"/>
            <w:vMerge w:val="restart"/>
            <w:vAlign w:val="center"/>
          </w:tcPr>
          <w:p w14:paraId="50C12551">
            <w:pPr>
              <w:spacing w:after="0" w:line="240" w:lineRule="auto"/>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异物发生</w:t>
            </w:r>
            <w:r>
              <w:rPr>
                <w:rFonts w:hint="eastAsia" w:ascii="宋体" w:hAnsi="宋体" w:eastAsia="宋体" w:cs="宋体"/>
                <w:kern w:val="0"/>
                <w:sz w:val="21"/>
                <w:szCs w:val="21"/>
                <w14:ligatures w14:val="none"/>
              </w:rPr>
              <w:br w:type="textWrapping"/>
            </w:r>
            <w:r>
              <w:rPr>
                <w:rFonts w:hint="eastAsia" w:ascii="宋体" w:hAnsi="宋体" w:eastAsia="宋体" w:cs="宋体"/>
                <w:kern w:val="0"/>
                <w:sz w:val="21"/>
                <w:szCs w:val="21"/>
                <w14:ligatures w14:val="none"/>
              </w:rPr>
              <w:t>（工业异物、外源性生物类异物）</w:t>
            </w:r>
          </w:p>
          <w:p w14:paraId="1CC17622">
            <w:pPr>
              <w:spacing w:after="0" w:line="240" w:lineRule="auto"/>
              <w:jc w:val="center"/>
              <w:rPr>
                <w:rFonts w:hint="eastAsia" w:ascii="宋体" w:hAnsi="宋体" w:eastAsia="宋体" w:cs="宋体"/>
                <w:kern w:val="0"/>
                <w:sz w:val="21"/>
                <w:szCs w:val="21"/>
                <w14:ligatures w14:val="none"/>
              </w:rPr>
            </w:pPr>
          </w:p>
        </w:tc>
        <w:tc>
          <w:tcPr>
            <w:tcW w:w="2033" w:type="dxa"/>
            <w:vAlign w:val="center"/>
          </w:tcPr>
          <w:p w14:paraId="44DDCACC">
            <w:pPr>
              <w:spacing w:after="0" w:line="240" w:lineRule="auto"/>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轻微异物</w:t>
            </w:r>
          </w:p>
          <w:p w14:paraId="0BB9C2CA">
            <w:pPr>
              <w:spacing w:after="0" w:line="240" w:lineRule="auto"/>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（如原材料表面的头发丝、包装绳等）</w:t>
            </w:r>
          </w:p>
        </w:tc>
        <w:tc>
          <w:tcPr>
            <w:tcW w:w="5165" w:type="dxa"/>
            <w:vAlign w:val="center"/>
          </w:tcPr>
          <w:p w14:paraId="70726837">
            <w:pPr>
              <w:spacing w:after="0" w:line="240" w:lineRule="auto"/>
              <w:jc w:val="both"/>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出现有异物的情况，判定为供应商原因的：</w:t>
            </w:r>
            <w:r>
              <w:rPr>
                <w:rFonts w:hint="eastAsia" w:ascii="宋体" w:hAnsi="宋体" w:eastAsia="宋体" w:cs="宋体"/>
                <w:kern w:val="0"/>
                <w:sz w:val="21"/>
                <w:szCs w:val="21"/>
                <w14:ligatures w14:val="none"/>
              </w:rPr>
              <w:br w:type="textWrapping"/>
            </w:r>
            <w:r>
              <w:rPr>
                <w:rFonts w:hint="eastAsia" w:ascii="宋体" w:hAnsi="宋体" w:eastAsia="宋体" w:cs="宋体"/>
                <w:kern w:val="0"/>
                <w:sz w:val="21"/>
                <w:szCs w:val="21"/>
                <w14:ligatures w14:val="none"/>
              </w:rPr>
              <w:t>1、同一品种一学期内出现第一次，扣除当批该品种总货款的20％作为处罚，出具供应商整改通知单要求整改；</w:t>
            </w:r>
            <w:r>
              <w:rPr>
                <w:rFonts w:hint="eastAsia" w:ascii="宋体" w:hAnsi="宋体" w:eastAsia="宋体" w:cs="宋体"/>
                <w:kern w:val="0"/>
                <w:sz w:val="21"/>
                <w:szCs w:val="21"/>
                <w14:ligatures w14:val="none"/>
              </w:rPr>
              <w:br w:type="textWrapping"/>
            </w:r>
            <w:r>
              <w:rPr>
                <w:rFonts w:hint="eastAsia" w:ascii="宋体" w:hAnsi="宋体" w:eastAsia="宋体" w:cs="宋体"/>
                <w:kern w:val="0"/>
                <w:sz w:val="21"/>
                <w:szCs w:val="21"/>
                <w14:ligatures w14:val="none"/>
              </w:rPr>
              <w:t>2、同一品种同一学期内出现第二次，扣除当批该品种总货款的50％作为处罚，出具供应商整改通知单要求整改；</w:t>
            </w:r>
          </w:p>
          <w:p w14:paraId="701505F5">
            <w:pPr>
              <w:spacing w:after="0" w:line="240" w:lineRule="auto"/>
              <w:jc w:val="both"/>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3、同一品种同一学期内出现第三次，扣除当批该品种总货款的100％作为处罚，出具供应商整改通知单要求整改，情节严重的约谈。</w:t>
            </w:r>
            <w:r>
              <w:rPr>
                <w:rFonts w:hint="eastAsia" w:ascii="宋体" w:hAnsi="宋体" w:eastAsia="宋体" w:cs="宋体"/>
                <w:kern w:val="0"/>
                <w:sz w:val="21"/>
                <w:szCs w:val="21"/>
                <w14:ligatures w14:val="none"/>
              </w:rPr>
              <w:br w:type="textWrapping"/>
            </w:r>
            <w:r>
              <w:rPr>
                <w:rFonts w:hint="eastAsia" w:ascii="宋体" w:hAnsi="宋体" w:eastAsia="宋体" w:cs="宋体"/>
                <w:kern w:val="0"/>
                <w:sz w:val="21"/>
                <w:szCs w:val="21"/>
                <w14:ligatures w14:val="none"/>
              </w:rPr>
              <w:t>如顾客（消费者）投诉的，情节严重的另处罚1000元以上或按赔付金额的两倍处罚，并承担相关的法律责任及我方损失。</w:t>
            </w:r>
          </w:p>
        </w:tc>
        <w:tc>
          <w:tcPr>
            <w:tcW w:w="1197" w:type="dxa"/>
            <w:vAlign w:val="center"/>
          </w:tcPr>
          <w:p w14:paraId="71926B22">
            <w:pPr>
              <w:spacing w:after="0" w:line="240" w:lineRule="auto"/>
              <w:jc w:val="center"/>
              <w:rPr>
                <w:rFonts w:hint="eastAsia" w:ascii="宋体" w:hAnsi="宋体" w:eastAsia="宋体" w:cs="宋体"/>
                <w:kern w:val="0"/>
                <w:sz w:val="21"/>
                <w:szCs w:val="21"/>
                <w14:ligatures w14:val="none"/>
              </w:rPr>
            </w:pPr>
          </w:p>
        </w:tc>
      </w:tr>
      <w:tr w14:paraId="7A36A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1287" w:type="dxa"/>
            <w:vMerge w:val="continue"/>
            <w:vAlign w:val="center"/>
          </w:tcPr>
          <w:p w14:paraId="364601DB">
            <w:pPr>
              <w:spacing w:after="0" w:line="240" w:lineRule="auto"/>
              <w:jc w:val="center"/>
              <w:rPr>
                <w:rFonts w:hint="eastAsia" w:ascii="宋体" w:hAnsi="宋体" w:eastAsia="宋体" w:cs="宋体"/>
                <w:kern w:val="0"/>
                <w:sz w:val="21"/>
                <w:szCs w:val="21"/>
                <w14:ligatures w14:val="none"/>
              </w:rPr>
            </w:pPr>
          </w:p>
        </w:tc>
        <w:tc>
          <w:tcPr>
            <w:tcW w:w="2033" w:type="dxa"/>
            <w:vAlign w:val="center"/>
          </w:tcPr>
          <w:p w14:paraId="36C207B9">
            <w:pPr>
              <w:spacing w:after="0" w:line="240" w:lineRule="auto"/>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食品安全性异物</w:t>
            </w:r>
          </w:p>
          <w:p w14:paraId="4CAF23E4">
            <w:pPr>
              <w:spacing w:after="0" w:line="240" w:lineRule="auto"/>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（如原材料表面上的金属物、蚊虫鼠蚁、蟑螂等）</w:t>
            </w:r>
          </w:p>
        </w:tc>
        <w:tc>
          <w:tcPr>
            <w:tcW w:w="5165" w:type="dxa"/>
            <w:vAlign w:val="center"/>
          </w:tcPr>
          <w:p w14:paraId="7600B9F1">
            <w:pPr>
              <w:spacing w:after="0" w:line="240" w:lineRule="auto"/>
              <w:jc w:val="both"/>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出现有异物的情况，判定为供应商原因的：</w:t>
            </w:r>
            <w:r>
              <w:rPr>
                <w:rFonts w:hint="eastAsia" w:ascii="宋体" w:hAnsi="宋体" w:eastAsia="宋体" w:cs="宋体"/>
                <w:kern w:val="0"/>
                <w:sz w:val="21"/>
                <w:szCs w:val="21"/>
                <w14:ligatures w14:val="none"/>
              </w:rPr>
              <w:br w:type="textWrapping"/>
            </w:r>
            <w:r>
              <w:rPr>
                <w:rFonts w:hint="eastAsia" w:ascii="宋体" w:hAnsi="宋体" w:eastAsia="宋体" w:cs="宋体"/>
                <w:kern w:val="0"/>
                <w:sz w:val="21"/>
                <w:szCs w:val="21"/>
                <w14:ligatures w14:val="none"/>
              </w:rPr>
              <w:t>1、同一品种同一学期内出现第一次，扣除当批该品种总货款的50％作为处罚，出具供应商整改通知单要求整改；</w:t>
            </w:r>
            <w:r>
              <w:rPr>
                <w:rFonts w:hint="eastAsia" w:ascii="宋体" w:hAnsi="宋体" w:eastAsia="宋体" w:cs="宋体"/>
                <w:kern w:val="0"/>
                <w:sz w:val="21"/>
                <w:szCs w:val="21"/>
                <w14:ligatures w14:val="none"/>
              </w:rPr>
              <w:br w:type="textWrapping"/>
            </w:r>
            <w:r>
              <w:rPr>
                <w:rFonts w:hint="eastAsia" w:ascii="宋体" w:hAnsi="宋体" w:eastAsia="宋体" w:cs="宋体"/>
                <w:kern w:val="0"/>
                <w:sz w:val="21"/>
                <w:szCs w:val="21"/>
                <w14:ligatures w14:val="none"/>
              </w:rPr>
              <w:t>2、同一品种同一学期内出现第二次，扣除当批该品种总货款的100％作为处罚，出具供应商整改通知单要求整改，情节严重的约谈。</w:t>
            </w:r>
            <w:r>
              <w:rPr>
                <w:rFonts w:hint="eastAsia" w:ascii="宋体" w:hAnsi="宋体" w:eastAsia="宋体" w:cs="宋体"/>
                <w:kern w:val="0"/>
                <w:sz w:val="21"/>
                <w:szCs w:val="21"/>
                <w14:ligatures w14:val="none"/>
              </w:rPr>
              <w:br w:type="textWrapping"/>
            </w:r>
            <w:r>
              <w:rPr>
                <w:rFonts w:hint="eastAsia" w:ascii="宋体" w:hAnsi="宋体" w:eastAsia="宋体" w:cs="宋体"/>
                <w:kern w:val="0"/>
                <w:sz w:val="21"/>
                <w:szCs w:val="21"/>
                <w14:ligatures w14:val="none"/>
              </w:rPr>
              <w:t>如顾客（消费者）投诉的，情节严重的另处罚1000元以上或按赔付金额的两倍处罚，并承担相关的法律责任及我方损失。</w:t>
            </w:r>
          </w:p>
        </w:tc>
        <w:tc>
          <w:tcPr>
            <w:tcW w:w="1197" w:type="dxa"/>
            <w:vMerge w:val="restart"/>
            <w:vAlign w:val="center"/>
          </w:tcPr>
          <w:p w14:paraId="14EA43C5">
            <w:pPr>
              <w:spacing w:after="0" w:line="240" w:lineRule="auto"/>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列入供应商年度考核依据</w:t>
            </w:r>
          </w:p>
        </w:tc>
      </w:tr>
      <w:tr w14:paraId="218E9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1287" w:type="dxa"/>
            <w:vMerge w:val="continue"/>
            <w:vAlign w:val="center"/>
          </w:tcPr>
          <w:p w14:paraId="1CE72926">
            <w:pPr>
              <w:spacing w:after="0" w:line="240" w:lineRule="auto"/>
              <w:jc w:val="center"/>
              <w:rPr>
                <w:rFonts w:hint="eastAsia" w:ascii="宋体" w:hAnsi="宋体" w:eastAsia="宋体" w:cs="宋体"/>
                <w:kern w:val="0"/>
                <w:sz w:val="21"/>
                <w:szCs w:val="21"/>
                <w14:ligatures w14:val="none"/>
              </w:rPr>
            </w:pPr>
          </w:p>
        </w:tc>
        <w:tc>
          <w:tcPr>
            <w:tcW w:w="2033" w:type="dxa"/>
            <w:vAlign w:val="center"/>
          </w:tcPr>
          <w:p w14:paraId="6B2262DB">
            <w:pPr>
              <w:spacing w:after="0" w:line="240" w:lineRule="auto"/>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批量整包原材料，表面不容易查看到安全风险的异物</w:t>
            </w:r>
          </w:p>
          <w:p w14:paraId="21375369">
            <w:pPr>
              <w:spacing w:after="0" w:line="240" w:lineRule="auto"/>
              <w:jc w:val="center"/>
              <w:rPr>
                <w:rFonts w:hint="eastAsia" w:ascii="宋体" w:hAnsi="宋体" w:eastAsia="宋体" w:cs="宋体"/>
                <w:kern w:val="0"/>
                <w:sz w:val="21"/>
                <w:szCs w:val="21"/>
                <w14:ligatures w14:val="none"/>
              </w:rPr>
            </w:pPr>
          </w:p>
        </w:tc>
        <w:tc>
          <w:tcPr>
            <w:tcW w:w="5165" w:type="dxa"/>
            <w:vAlign w:val="center"/>
          </w:tcPr>
          <w:p w14:paraId="6287B3B1">
            <w:pPr>
              <w:spacing w:after="0" w:line="240" w:lineRule="auto"/>
              <w:jc w:val="both"/>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1、同一品种同一学期内出现第一次，扣除当批该品种总货款的10％作为处罚，出具供应商整改通知单要求整改；</w:t>
            </w:r>
          </w:p>
          <w:p w14:paraId="0B057142">
            <w:pPr>
              <w:spacing w:after="0" w:line="240" w:lineRule="auto"/>
              <w:jc w:val="both"/>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2、同一品种同一学期内出现第二次，扣除当批该品种总货款的20％作为处罚，出具供应商整改通知单要求整改；</w:t>
            </w:r>
          </w:p>
          <w:p w14:paraId="6AD6B04A">
            <w:pPr>
              <w:spacing w:after="0" w:line="240" w:lineRule="auto"/>
              <w:jc w:val="both"/>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3、同一品种同一学期内出现第三次，扣除当批该品种总货款的50％作为处罚，出具供应商整改通知单要求整改，情节严重的约谈。</w:t>
            </w:r>
          </w:p>
          <w:p w14:paraId="4935F361">
            <w:pPr>
              <w:spacing w:after="0" w:line="240" w:lineRule="auto"/>
              <w:jc w:val="both"/>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如顾客（消费者）投诉的，情节严重的另处罚1000元以上或按赔付金额的两倍处罚，并承担相关的法律责任及我方损失。</w:t>
            </w:r>
          </w:p>
        </w:tc>
        <w:tc>
          <w:tcPr>
            <w:tcW w:w="1197" w:type="dxa"/>
            <w:vMerge w:val="continue"/>
            <w:vAlign w:val="center"/>
          </w:tcPr>
          <w:p w14:paraId="35C6AAAD">
            <w:pPr>
              <w:spacing w:after="0" w:line="240" w:lineRule="auto"/>
              <w:jc w:val="center"/>
              <w:rPr>
                <w:rFonts w:hint="eastAsia" w:ascii="宋体" w:hAnsi="宋体" w:eastAsia="宋体" w:cs="宋体"/>
                <w:kern w:val="0"/>
                <w:sz w:val="21"/>
                <w:szCs w:val="21"/>
                <w14:ligatures w14:val="none"/>
              </w:rPr>
            </w:pPr>
          </w:p>
        </w:tc>
      </w:tr>
      <w:tr w14:paraId="0AF2A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5" w:hRule="atLeast"/>
          <w:jc w:val="center"/>
        </w:trPr>
        <w:tc>
          <w:tcPr>
            <w:tcW w:w="1287" w:type="dxa"/>
            <w:vMerge w:val="restart"/>
            <w:vAlign w:val="center"/>
          </w:tcPr>
          <w:p w14:paraId="758029B3">
            <w:pPr>
              <w:spacing w:after="0" w:line="240" w:lineRule="auto"/>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食品安全异常</w:t>
            </w:r>
          </w:p>
          <w:p w14:paraId="50CCAF9D">
            <w:pPr>
              <w:spacing w:after="0" w:line="240" w:lineRule="auto"/>
              <w:jc w:val="both"/>
              <w:rPr>
                <w:rFonts w:hint="eastAsia" w:ascii="宋体" w:hAnsi="宋体" w:eastAsia="宋体" w:cs="宋体"/>
                <w:kern w:val="0"/>
                <w:sz w:val="21"/>
                <w:szCs w:val="21"/>
                <w14:ligatures w14:val="none"/>
              </w:rPr>
            </w:pPr>
          </w:p>
        </w:tc>
        <w:tc>
          <w:tcPr>
            <w:tcW w:w="2033" w:type="dxa"/>
            <w:vAlign w:val="center"/>
          </w:tcPr>
          <w:p w14:paraId="5779EFFA">
            <w:pPr>
              <w:spacing w:after="0" w:line="240" w:lineRule="auto"/>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农残/兽残超标</w:t>
            </w:r>
          </w:p>
        </w:tc>
        <w:tc>
          <w:tcPr>
            <w:tcW w:w="5165" w:type="dxa"/>
            <w:vAlign w:val="center"/>
          </w:tcPr>
          <w:p w14:paraId="7BF830C5">
            <w:pPr>
              <w:spacing w:after="0" w:line="240" w:lineRule="auto"/>
              <w:jc w:val="both"/>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一、中心食堂附属医院食堂使用</w:t>
            </w:r>
          </w:p>
          <w:p w14:paraId="7B73E56E">
            <w:pPr>
              <w:spacing w:after="0" w:line="240" w:lineRule="auto"/>
              <w:jc w:val="both"/>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1、全批次召回</w:t>
            </w:r>
          </w:p>
          <w:p w14:paraId="2835B482">
            <w:pPr>
              <w:spacing w:after="0" w:line="240" w:lineRule="auto"/>
              <w:jc w:val="both"/>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2、同一品种一学期内出现第一次，扣除当批该品种总货款的50％作为处罚，出具供应商整改通知单要求整改并承担相关法律责任及我方损失；暂停供应至提供第三方检测证明</w:t>
            </w:r>
          </w:p>
          <w:p w14:paraId="2F5AA955">
            <w:pPr>
              <w:spacing w:after="0" w:line="240" w:lineRule="auto"/>
              <w:jc w:val="both"/>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3、同一品种一学期内出现第二次，扣除当批该品种总货款的100％作为处罚，出具供应商整改通知单要求整改；约谈并承担相关的法律责任及我方损失，暂停供应，重新审核通过后方可提出复供。</w:t>
            </w:r>
          </w:p>
          <w:p w14:paraId="441EEE02">
            <w:pPr>
              <w:spacing w:after="0" w:line="240" w:lineRule="auto"/>
              <w:jc w:val="both"/>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二、中大餐饮央厨大宗蔬菜类使用</w:t>
            </w:r>
          </w:p>
          <w:p w14:paraId="719D8B2E">
            <w:pPr>
              <w:spacing w:after="0" w:line="240" w:lineRule="auto"/>
              <w:jc w:val="both"/>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1、同一品种当月内出现第一次，扣除当批该品种总货款的20％作为处罚，出具供应商整改通知单要求整改；</w:t>
            </w:r>
            <w:r>
              <w:rPr>
                <w:rFonts w:hint="eastAsia" w:ascii="宋体" w:hAnsi="宋体" w:eastAsia="宋体" w:cs="宋体"/>
                <w:kern w:val="0"/>
                <w:sz w:val="21"/>
                <w:szCs w:val="21"/>
                <w14:ligatures w14:val="none"/>
              </w:rPr>
              <w:br w:type="textWrapping"/>
            </w:r>
            <w:r>
              <w:rPr>
                <w:rFonts w:hint="eastAsia" w:ascii="宋体" w:hAnsi="宋体" w:eastAsia="宋体" w:cs="宋体"/>
                <w:kern w:val="0"/>
                <w:sz w:val="21"/>
                <w:szCs w:val="21"/>
                <w14:ligatures w14:val="none"/>
              </w:rPr>
              <w:t>2、同一品种当月内出现第二次，扣除当批该品种总货款的50％作为处罚，出具供应商整改通知单要求整改。</w:t>
            </w:r>
            <w:r>
              <w:rPr>
                <w:rFonts w:hint="eastAsia" w:ascii="宋体" w:hAnsi="宋体" w:eastAsia="宋体" w:cs="宋体"/>
                <w:kern w:val="0"/>
                <w:sz w:val="21"/>
                <w:szCs w:val="21"/>
                <w14:ligatures w14:val="none"/>
              </w:rPr>
              <w:br w:type="textWrapping"/>
            </w:r>
            <w:r>
              <w:rPr>
                <w:rFonts w:hint="eastAsia" w:ascii="宋体" w:hAnsi="宋体" w:eastAsia="宋体" w:cs="宋体"/>
                <w:kern w:val="0"/>
                <w:sz w:val="21"/>
                <w:szCs w:val="21"/>
                <w14:ligatures w14:val="none"/>
              </w:rPr>
              <w:t>3、同一品种当月内出现第三次，扣除当批该品种总货款的100％作为处罚，出具供应商整改通知单要求整改，约谈并暂停供应，重新审核通过后方可提出复供。</w:t>
            </w:r>
          </w:p>
        </w:tc>
        <w:tc>
          <w:tcPr>
            <w:tcW w:w="1197" w:type="dxa"/>
            <w:vMerge w:val="restart"/>
            <w:vAlign w:val="center"/>
          </w:tcPr>
          <w:p w14:paraId="43F1565A">
            <w:pPr>
              <w:spacing w:after="0" w:line="240" w:lineRule="auto"/>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列入供应商年度考核依据</w:t>
            </w:r>
          </w:p>
          <w:p w14:paraId="1C8A913D">
            <w:pPr>
              <w:spacing w:after="0" w:line="240" w:lineRule="auto"/>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（我方送检时供应商支付第三方检测费用）</w:t>
            </w:r>
          </w:p>
        </w:tc>
      </w:tr>
      <w:tr w14:paraId="5C7B9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5" w:hRule="atLeast"/>
          <w:jc w:val="center"/>
        </w:trPr>
        <w:tc>
          <w:tcPr>
            <w:tcW w:w="1287" w:type="dxa"/>
            <w:vMerge w:val="continue"/>
            <w:vAlign w:val="center"/>
          </w:tcPr>
          <w:p w14:paraId="19691E41">
            <w:pPr>
              <w:spacing w:after="0" w:line="240" w:lineRule="auto"/>
              <w:jc w:val="center"/>
              <w:rPr>
                <w:rFonts w:hint="eastAsia" w:ascii="宋体" w:hAnsi="宋体" w:eastAsia="宋体" w:cs="宋体"/>
                <w:kern w:val="0"/>
                <w:sz w:val="21"/>
                <w:szCs w:val="21"/>
                <w14:ligatures w14:val="none"/>
              </w:rPr>
            </w:pPr>
          </w:p>
        </w:tc>
        <w:tc>
          <w:tcPr>
            <w:tcW w:w="2033" w:type="dxa"/>
            <w:vAlign w:val="center"/>
          </w:tcPr>
          <w:p w14:paraId="70BA615A">
            <w:pPr>
              <w:spacing w:after="0" w:line="240" w:lineRule="auto"/>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微生物超标</w:t>
            </w:r>
          </w:p>
          <w:p w14:paraId="3935AD4F">
            <w:pPr>
              <w:spacing w:after="0" w:line="240" w:lineRule="auto"/>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（如菌落总数）</w:t>
            </w:r>
          </w:p>
        </w:tc>
        <w:tc>
          <w:tcPr>
            <w:tcW w:w="5165" w:type="dxa"/>
            <w:vAlign w:val="center"/>
          </w:tcPr>
          <w:p w14:paraId="5B469407">
            <w:pPr>
              <w:spacing w:after="0" w:line="240" w:lineRule="auto"/>
              <w:jc w:val="both"/>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1、全批次召回</w:t>
            </w:r>
          </w:p>
          <w:p w14:paraId="3DA9B2B3">
            <w:pPr>
              <w:spacing w:after="0" w:line="240" w:lineRule="auto"/>
              <w:jc w:val="both"/>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2、扣除当批该品种总货款的100％作为处罚，并要求整改，约谈并承担相关的法律责任及我方损失，暂停供应。</w:t>
            </w:r>
          </w:p>
        </w:tc>
        <w:tc>
          <w:tcPr>
            <w:tcW w:w="1197" w:type="dxa"/>
            <w:vMerge w:val="continue"/>
            <w:vAlign w:val="center"/>
          </w:tcPr>
          <w:p w14:paraId="323954EB">
            <w:pPr>
              <w:spacing w:after="0" w:line="240" w:lineRule="auto"/>
              <w:jc w:val="center"/>
              <w:rPr>
                <w:rFonts w:hint="eastAsia" w:ascii="宋体" w:hAnsi="宋体" w:eastAsia="宋体" w:cs="宋体"/>
                <w:kern w:val="0"/>
                <w:sz w:val="21"/>
                <w:szCs w:val="21"/>
                <w14:ligatures w14:val="none"/>
              </w:rPr>
            </w:pPr>
          </w:p>
        </w:tc>
      </w:tr>
      <w:tr w14:paraId="07DB3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6" w:hRule="atLeast"/>
          <w:jc w:val="center"/>
        </w:trPr>
        <w:tc>
          <w:tcPr>
            <w:tcW w:w="1287" w:type="dxa"/>
            <w:vMerge w:val="continue"/>
            <w:vAlign w:val="center"/>
          </w:tcPr>
          <w:p w14:paraId="0C76E606">
            <w:pPr>
              <w:spacing w:after="0" w:line="240" w:lineRule="auto"/>
              <w:jc w:val="center"/>
              <w:rPr>
                <w:rFonts w:hint="eastAsia" w:ascii="宋体" w:hAnsi="宋体" w:eastAsia="宋体" w:cs="宋体"/>
                <w:kern w:val="0"/>
                <w:sz w:val="21"/>
                <w:szCs w:val="21"/>
                <w14:ligatures w14:val="none"/>
              </w:rPr>
            </w:pPr>
          </w:p>
        </w:tc>
        <w:tc>
          <w:tcPr>
            <w:tcW w:w="2033" w:type="dxa"/>
            <w:vAlign w:val="center"/>
          </w:tcPr>
          <w:p w14:paraId="486338AA">
            <w:pPr>
              <w:spacing w:after="0" w:line="240" w:lineRule="auto"/>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使用违禁添加物</w:t>
            </w:r>
          </w:p>
        </w:tc>
        <w:tc>
          <w:tcPr>
            <w:tcW w:w="5165" w:type="dxa"/>
            <w:vAlign w:val="center"/>
          </w:tcPr>
          <w:p w14:paraId="2181AC59">
            <w:pPr>
              <w:spacing w:after="0" w:line="240" w:lineRule="auto"/>
              <w:jc w:val="both"/>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1、全批次召回</w:t>
            </w:r>
          </w:p>
          <w:p w14:paraId="06BD9CF7">
            <w:pPr>
              <w:spacing w:after="0" w:line="240" w:lineRule="auto"/>
              <w:jc w:val="both"/>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2、扣除当批该品种总货款的100％作为处罚，并要求整改，约谈并承担相关的法律责任及我方损失，暂停供应。</w:t>
            </w:r>
          </w:p>
        </w:tc>
        <w:tc>
          <w:tcPr>
            <w:tcW w:w="1197" w:type="dxa"/>
            <w:vMerge w:val="continue"/>
            <w:vAlign w:val="center"/>
          </w:tcPr>
          <w:p w14:paraId="333B5FE9">
            <w:pPr>
              <w:spacing w:after="0" w:line="240" w:lineRule="auto"/>
              <w:jc w:val="center"/>
              <w:rPr>
                <w:rFonts w:hint="eastAsia" w:ascii="宋体" w:hAnsi="宋体" w:eastAsia="宋体" w:cs="宋体"/>
                <w:kern w:val="0"/>
                <w:sz w:val="21"/>
                <w:szCs w:val="21"/>
                <w14:ligatures w14:val="none"/>
              </w:rPr>
            </w:pPr>
          </w:p>
        </w:tc>
      </w:tr>
      <w:tr w14:paraId="0DF04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3" w:hRule="atLeast"/>
          <w:jc w:val="center"/>
        </w:trPr>
        <w:tc>
          <w:tcPr>
            <w:tcW w:w="1287" w:type="dxa"/>
            <w:vAlign w:val="center"/>
          </w:tcPr>
          <w:p w14:paraId="01245F4D">
            <w:pPr>
              <w:spacing w:after="0" w:line="240" w:lineRule="auto"/>
              <w:jc w:val="both"/>
              <w:rPr>
                <w:rFonts w:hint="eastAsia" w:ascii="宋体" w:hAnsi="宋体" w:eastAsia="宋体" w:cs="宋体"/>
                <w:kern w:val="0"/>
                <w:sz w:val="21"/>
                <w:szCs w:val="21"/>
                <w14:ligatures w14:val="none"/>
              </w:rPr>
            </w:pPr>
          </w:p>
        </w:tc>
        <w:tc>
          <w:tcPr>
            <w:tcW w:w="2033" w:type="dxa"/>
            <w:vAlign w:val="center"/>
          </w:tcPr>
          <w:p w14:paraId="6B68CAB6">
            <w:pPr>
              <w:spacing w:after="0" w:line="240" w:lineRule="auto"/>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日常配合</w:t>
            </w:r>
          </w:p>
        </w:tc>
        <w:tc>
          <w:tcPr>
            <w:tcW w:w="5165" w:type="dxa"/>
            <w:vAlign w:val="center"/>
          </w:tcPr>
          <w:p w14:paraId="2E359BBC">
            <w:pPr>
              <w:spacing w:after="0" w:line="240" w:lineRule="auto"/>
              <w:jc w:val="both"/>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在日常配合中，经常出现不到位、不及时的情况，可给予每次500-1000元处罚，以作警示。供应商配送人员须遵守我司相关现场管理规章制度及遵循配送注意事项，造成公司财产损失的须承担修复原状费用或照价赔偿。</w:t>
            </w:r>
          </w:p>
        </w:tc>
        <w:tc>
          <w:tcPr>
            <w:tcW w:w="1197" w:type="dxa"/>
            <w:vAlign w:val="center"/>
          </w:tcPr>
          <w:p w14:paraId="59A444CD">
            <w:pPr>
              <w:spacing w:after="0" w:line="240" w:lineRule="auto"/>
              <w:jc w:val="center"/>
              <w:rPr>
                <w:rFonts w:hint="eastAsia" w:ascii="宋体" w:hAnsi="宋体" w:eastAsia="宋体" w:cs="宋体"/>
                <w:kern w:val="0"/>
                <w:sz w:val="21"/>
                <w:szCs w:val="21"/>
                <w14:ligatures w14:val="none"/>
              </w:rPr>
            </w:pPr>
          </w:p>
        </w:tc>
      </w:tr>
      <w:tr w14:paraId="511E6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6" w:hRule="atLeast"/>
          <w:jc w:val="center"/>
        </w:trPr>
        <w:tc>
          <w:tcPr>
            <w:tcW w:w="1287" w:type="dxa"/>
            <w:vAlign w:val="center"/>
          </w:tcPr>
          <w:p w14:paraId="56DD1030">
            <w:pPr>
              <w:spacing w:after="0" w:line="240" w:lineRule="auto"/>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配合服务</w:t>
            </w:r>
          </w:p>
        </w:tc>
        <w:tc>
          <w:tcPr>
            <w:tcW w:w="2033" w:type="dxa"/>
            <w:vAlign w:val="center"/>
          </w:tcPr>
          <w:p w14:paraId="79C2F114">
            <w:pPr>
              <w:spacing w:after="0" w:line="240" w:lineRule="auto"/>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报价失误</w:t>
            </w:r>
          </w:p>
        </w:tc>
        <w:tc>
          <w:tcPr>
            <w:tcW w:w="5165" w:type="dxa"/>
            <w:vAlign w:val="center"/>
          </w:tcPr>
          <w:p w14:paraId="46A77ED5">
            <w:pPr>
              <w:spacing w:after="0" w:line="240" w:lineRule="auto"/>
              <w:jc w:val="both"/>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每期报价中，擅自修改采购部发出的报价单的排序、格式与字体；各品类报价失误率在1%以内（报价品种不足100个的品类，不允许失误），进行警告并出具供应商整改通知单要求整改；</w:t>
            </w:r>
          </w:p>
          <w:p w14:paraId="22B980E1">
            <w:pPr>
              <w:spacing w:after="0" w:line="240" w:lineRule="auto"/>
              <w:jc w:val="both"/>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每月报价的供应商，半年度累计两次或以上出错的，给予300-500元处罚；</w:t>
            </w:r>
          </w:p>
          <w:p w14:paraId="419206DD">
            <w:pPr>
              <w:spacing w:after="0" w:line="240" w:lineRule="auto"/>
              <w:jc w:val="both"/>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3个月/半年/一年报价的供应商，给予每次500元处罚；</w:t>
            </w:r>
          </w:p>
          <w:p w14:paraId="1A1E1EEF">
            <w:pPr>
              <w:spacing w:after="0" w:line="240" w:lineRule="auto"/>
              <w:jc w:val="both"/>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存在恶意报价行为的供应商，给予每次1000元处罚，情节严重的做停止新一期供货或者取消配送资格处理。</w:t>
            </w:r>
          </w:p>
        </w:tc>
        <w:tc>
          <w:tcPr>
            <w:tcW w:w="1197" w:type="dxa"/>
            <w:vAlign w:val="center"/>
          </w:tcPr>
          <w:p w14:paraId="109577B7">
            <w:pPr>
              <w:spacing w:after="0" w:line="240" w:lineRule="auto"/>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列入供应商年度考核依据</w:t>
            </w:r>
          </w:p>
        </w:tc>
      </w:tr>
      <w:tr w14:paraId="56521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jc w:val="center"/>
        </w:trPr>
        <w:tc>
          <w:tcPr>
            <w:tcW w:w="1287" w:type="dxa"/>
            <w:vMerge w:val="restart"/>
            <w:vAlign w:val="center"/>
          </w:tcPr>
          <w:p w14:paraId="164EE6C3">
            <w:pPr>
              <w:spacing w:after="0" w:line="240" w:lineRule="auto"/>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其他</w:t>
            </w:r>
          </w:p>
        </w:tc>
        <w:tc>
          <w:tcPr>
            <w:tcW w:w="2033" w:type="dxa"/>
            <w:vAlign w:val="center"/>
          </w:tcPr>
          <w:p w14:paraId="6BF78B66">
            <w:pPr>
              <w:spacing w:after="0" w:line="240" w:lineRule="auto"/>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多次违规</w:t>
            </w:r>
          </w:p>
        </w:tc>
        <w:tc>
          <w:tcPr>
            <w:tcW w:w="5165" w:type="dxa"/>
            <w:vAlign w:val="center"/>
          </w:tcPr>
          <w:p w14:paraId="12ABA99D">
            <w:pPr>
              <w:spacing w:after="0" w:line="240" w:lineRule="auto"/>
              <w:jc w:val="both"/>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一学期累计三次处理后仍有违反的，除上述对应扣罚外，视情况扣罚履约保证金、无任何改善的暂停配送资格处理、情节严重无任何改善的公司可取消供应商供货资格。</w:t>
            </w:r>
          </w:p>
        </w:tc>
        <w:tc>
          <w:tcPr>
            <w:tcW w:w="1197" w:type="dxa"/>
            <w:vMerge w:val="restart"/>
            <w:vAlign w:val="center"/>
          </w:tcPr>
          <w:p w14:paraId="5E96B2B1">
            <w:pPr>
              <w:spacing w:after="0" w:line="240" w:lineRule="auto"/>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取消供货资格</w:t>
            </w:r>
          </w:p>
        </w:tc>
      </w:tr>
      <w:tr w14:paraId="63B19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6" w:hRule="atLeast"/>
          <w:jc w:val="center"/>
        </w:trPr>
        <w:tc>
          <w:tcPr>
            <w:tcW w:w="1287" w:type="dxa"/>
            <w:vMerge w:val="continue"/>
            <w:vAlign w:val="center"/>
          </w:tcPr>
          <w:p w14:paraId="260265BE">
            <w:pPr>
              <w:spacing w:after="0" w:line="240" w:lineRule="auto"/>
              <w:jc w:val="center"/>
              <w:rPr>
                <w:rFonts w:hint="eastAsia" w:ascii="宋体" w:hAnsi="宋体" w:eastAsia="宋体" w:cs="宋体"/>
                <w:kern w:val="0"/>
                <w:sz w:val="21"/>
                <w:szCs w:val="21"/>
                <w14:ligatures w14:val="none"/>
              </w:rPr>
            </w:pPr>
          </w:p>
        </w:tc>
        <w:tc>
          <w:tcPr>
            <w:tcW w:w="2033" w:type="dxa"/>
            <w:vAlign w:val="center"/>
          </w:tcPr>
          <w:p w14:paraId="4505E511">
            <w:pPr>
              <w:spacing w:after="0" w:line="240" w:lineRule="auto"/>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重大事件</w:t>
            </w:r>
          </w:p>
        </w:tc>
        <w:tc>
          <w:tcPr>
            <w:tcW w:w="5165" w:type="dxa"/>
            <w:vAlign w:val="center"/>
          </w:tcPr>
          <w:p w14:paraId="0E319C1D">
            <w:pPr>
              <w:spacing w:after="0" w:line="240" w:lineRule="auto"/>
              <w:jc w:val="both"/>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1、</w:t>
            </w:r>
            <w:r>
              <w:rPr>
                <w:rFonts w:hint="eastAsia" w:ascii="宋体" w:hAnsi="宋体" w:eastAsia="宋体" w:cs="宋体"/>
                <w:kern w:val="0"/>
                <w:sz w:val="21"/>
                <w:szCs w:val="21"/>
                <w:lang w:bidi="ar"/>
                <w14:ligatures w14:val="none"/>
              </w:rPr>
              <w:t>生产或配送的食品或产品均不得违反食品安全法以及产品质量法的相关规定；</w:t>
            </w:r>
            <w:r>
              <w:rPr>
                <w:rFonts w:hint="eastAsia" w:ascii="宋体" w:hAnsi="宋体" w:eastAsia="宋体" w:cs="宋体"/>
                <w:kern w:val="0"/>
                <w:sz w:val="21"/>
                <w:szCs w:val="21"/>
                <w14:ligatures w14:val="none"/>
              </w:rPr>
              <w:t>供应商有弄虚作假行为或所供货物被相关部门鉴定为假冒伪劣产品的，取消供货资格。</w:t>
            </w:r>
          </w:p>
          <w:p w14:paraId="203EBD55">
            <w:pPr>
              <w:spacing w:after="0" w:line="240" w:lineRule="auto"/>
              <w:jc w:val="both"/>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2、发生重大食品安全事件或被外部通报较大事件，扣罚履约保证金、取消供货资格，我司保留追究相关法律责任的权利。</w:t>
            </w:r>
          </w:p>
        </w:tc>
        <w:tc>
          <w:tcPr>
            <w:tcW w:w="1197" w:type="dxa"/>
            <w:vMerge w:val="continue"/>
            <w:vAlign w:val="center"/>
          </w:tcPr>
          <w:p w14:paraId="21F23395">
            <w:pPr>
              <w:spacing w:after="0" w:line="240" w:lineRule="auto"/>
              <w:jc w:val="center"/>
              <w:rPr>
                <w:rFonts w:hint="eastAsia" w:ascii="宋体" w:hAnsi="宋体" w:eastAsia="宋体" w:cs="宋体"/>
                <w:kern w:val="0"/>
                <w:sz w:val="21"/>
                <w:szCs w:val="21"/>
                <w14:ligatures w14:val="none"/>
              </w:rPr>
            </w:pPr>
          </w:p>
        </w:tc>
      </w:tr>
    </w:tbl>
    <w:p w14:paraId="2FCC6A0E">
      <w:pPr>
        <w:spacing w:before="156" w:beforeLines="50" w:after="0" w:line="276" w:lineRule="auto"/>
        <w:ind w:left="-1034" w:leftChars="-470" w:firstLine="480" w:firstLineChars="200"/>
        <w:jc w:val="both"/>
        <w:rPr>
          <w:rFonts w:hint="eastAsia" w:ascii="宋体" w:hAnsi="宋体" w:eastAsia="宋体" w:cs="宋体"/>
          <w:sz w:val="24"/>
          <w14:ligatures w14:val="none"/>
        </w:rPr>
      </w:pPr>
      <w:r>
        <w:rPr>
          <w:rFonts w:hint="eastAsia" w:ascii="宋体" w:hAnsi="宋体" w:eastAsia="宋体" w:cs="宋体"/>
          <w:sz w:val="24"/>
          <w14:ligatures w14:val="none"/>
        </w:rPr>
        <w:t>说明：</w:t>
      </w:r>
    </w:p>
    <w:p w14:paraId="500D7958">
      <w:pPr>
        <w:spacing w:before="156" w:beforeLines="50" w:after="0" w:line="240" w:lineRule="auto"/>
        <w:ind w:left="-1034" w:leftChars="-470" w:firstLine="480" w:firstLineChars="200"/>
        <w:jc w:val="both"/>
        <w:rPr>
          <w:rFonts w:hint="eastAsia" w:ascii="宋体" w:hAnsi="宋体" w:eastAsia="宋体" w:cs="宋体"/>
          <w:sz w:val="24"/>
          <w14:ligatures w14:val="none"/>
        </w:rPr>
      </w:pPr>
      <w:r>
        <w:rPr>
          <w:rFonts w:hint="eastAsia" w:ascii="宋体" w:hAnsi="宋体" w:eastAsia="宋体" w:cs="宋体"/>
          <w:sz w:val="24"/>
          <w14:ligatures w14:val="none"/>
        </w:rPr>
        <w:t>处罚金额按照以上条款比例，</w:t>
      </w:r>
    </w:p>
    <w:p w14:paraId="2FF51224">
      <w:pPr>
        <w:spacing w:before="156" w:beforeLines="50" w:after="0" w:line="240" w:lineRule="auto"/>
        <w:ind w:left="-1034" w:leftChars="-470" w:firstLine="480" w:firstLineChars="200"/>
        <w:jc w:val="both"/>
        <w:rPr>
          <w:rFonts w:hint="eastAsia" w:ascii="宋体" w:hAnsi="宋体" w:eastAsia="宋体" w:cs="宋体"/>
          <w:sz w:val="24"/>
          <w14:ligatures w14:val="none"/>
        </w:rPr>
      </w:pPr>
      <w:r>
        <w:rPr>
          <w:rFonts w:hint="eastAsia" w:ascii="宋体" w:hAnsi="宋体" w:eastAsia="宋体" w:cs="宋体"/>
          <w:sz w:val="24"/>
          <w14:ligatures w14:val="none"/>
        </w:rPr>
        <w:t>如单次扣罚10%金额不足300元，则最低按300元/次处罚。</w:t>
      </w:r>
    </w:p>
    <w:p w14:paraId="67C5BB81">
      <w:pPr>
        <w:spacing w:before="156" w:beforeLines="50" w:after="0" w:line="240" w:lineRule="auto"/>
        <w:ind w:left="-1034" w:leftChars="-470" w:firstLine="480" w:firstLineChars="200"/>
        <w:jc w:val="both"/>
        <w:rPr>
          <w:rFonts w:hint="eastAsia" w:ascii="宋体" w:hAnsi="宋体" w:eastAsia="宋体" w:cs="宋体"/>
          <w:sz w:val="24"/>
          <w14:ligatures w14:val="none"/>
        </w:rPr>
      </w:pPr>
      <w:r>
        <w:rPr>
          <w:rFonts w:hint="eastAsia" w:ascii="宋体" w:hAnsi="宋体" w:eastAsia="宋体" w:cs="宋体"/>
          <w:sz w:val="24"/>
          <w14:ligatures w14:val="none"/>
        </w:rPr>
        <w:t>如单次扣罚20%金额不足500元，则最低按500元/次处罚。</w:t>
      </w:r>
    </w:p>
    <w:p w14:paraId="27B72832">
      <w:pPr>
        <w:spacing w:before="156" w:beforeLines="50" w:after="0" w:line="240" w:lineRule="auto"/>
        <w:ind w:left="-1034" w:leftChars="-470" w:firstLine="480" w:firstLineChars="200"/>
        <w:jc w:val="both"/>
        <w:rPr>
          <w:rFonts w:hint="eastAsia" w:ascii="宋体" w:hAnsi="宋体" w:eastAsia="宋体" w:cs="宋体"/>
          <w:sz w:val="24"/>
          <w14:ligatures w14:val="none"/>
        </w:rPr>
      </w:pPr>
      <w:r>
        <w:rPr>
          <w:rFonts w:hint="eastAsia" w:ascii="宋体" w:hAnsi="宋体" w:eastAsia="宋体" w:cs="宋体"/>
          <w:sz w:val="24"/>
          <w14:ligatures w14:val="none"/>
        </w:rPr>
        <w:t>如单次扣罚50%金额不足2000元，则最低按2000元/次处罚。</w:t>
      </w:r>
    </w:p>
    <w:p w14:paraId="388DC1F5">
      <w:pPr>
        <w:spacing w:before="156" w:beforeLines="50" w:after="0" w:line="240" w:lineRule="auto"/>
        <w:ind w:left="-1034" w:leftChars="-470" w:firstLine="480" w:firstLineChars="200"/>
        <w:jc w:val="both"/>
        <w:rPr>
          <w:rFonts w:hint="eastAsia" w:ascii="宋体" w:hAnsi="宋体" w:eastAsia="宋体" w:cs="宋体"/>
          <w:sz w:val="24"/>
          <w14:ligatures w14:val="none"/>
        </w:rPr>
      </w:pPr>
      <w:r>
        <w:rPr>
          <w:rFonts w:hint="eastAsia" w:ascii="宋体" w:hAnsi="宋体" w:eastAsia="宋体" w:cs="宋体"/>
          <w:sz w:val="24"/>
          <w14:ligatures w14:val="none"/>
        </w:rPr>
        <w:t>如单次扣罚100%金额不足5000元，则最低按5000元/次处罚。</w:t>
      </w:r>
    </w:p>
    <w:p w14:paraId="3156ABE5">
      <w:pPr>
        <w:spacing w:before="156" w:beforeLines="50" w:after="0" w:line="240" w:lineRule="auto"/>
        <w:ind w:left="-1034" w:leftChars="-470" w:firstLine="480" w:firstLineChars="200"/>
        <w:jc w:val="both"/>
        <w:rPr>
          <w:rFonts w:hint="eastAsia" w:ascii="宋体" w:hAnsi="宋体" w:eastAsia="宋体" w:cs="宋体"/>
          <w:sz w:val="24"/>
          <w14:ligatures w14:val="none"/>
        </w:rPr>
      </w:pPr>
      <w:r>
        <w:rPr>
          <w:rFonts w:hint="eastAsia" w:ascii="宋体" w:hAnsi="宋体" w:eastAsia="宋体" w:cs="宋体"/>
          <w:sz w:val="24"/>
          <w14:ligatures w14:val="none"/>
        </w:rPr>
        <w:t>含冰量除需要差额补回外，如有扣罚部分超过10000元的，按10000元处罚。</w:t>
      </w:r>
    </w:p>
    <w:p w14:paraId="650D4C80">
      <w:pPr>
        <w:spacing w:before="156" w:beforeLines="50" w:after="0" w:line="240" w:lineRule="auto"/>
        <w:ind w:left="-1034" w:leftChars="-470" w:firstLine="480" w:firstLineChars="200"/>
        <w:jc w:val="both"/>
        <w:rPr>
          <w:rFonts w:hint="eastAsia" w:ascii="宋体" w:hAnsi="宋体" w:eastAsia="宋体" w:cs="宋体"/>
          <w:sz w:val="24"/>
          <w14:ligatures w14:val="none"/>
        </w:rPr>
      </w:pPr>
    </w:p>
    <w:p w14:paraId="4A3CC24F">
      <w:pPr>
        <w:spacing w:before="156" w:beforeLines="50" w:after="0" w:line="276" w:lineRule="auto"/>
        <w:ind w:firstLine="480" w:firstLineChars="200"/>
        <w:jc w:val="center"/>
        <w:rPr>
          <w:rFonts w:hint="eastAsia" w:ascii="宋体" w:hAnsi="宋体" w:eastAsia="宋体" w:cs="宋体"/>
          <w:sz w:val="24"/>
          <w14:ligatures w14:val="none"/>
        </w:rPr>
      </w:pPr>
      <w:r>
        <w:rPr>
          <w:rFonts w:hint="eastAsia" w:ascii="宋体" w:hAnsi="宋体" w:eastAsia="宋体" w:cs="宋体"/>
          <w:sz w:val="24"/>
          <w14:ligatures w14:val="none"/>
        </w:rPr>
        <mc:AlternateContent>
          <mc:Choice Requires="wps">
            <w:drawing>
              <wp:anchor distT="0" distB="0" distL="114300" distR="114300" simplePos="0" relativeHeight="251659264" behindDoc="0" locked="0" layoutInCell="1" allowOverlap="1">
                <wp:simplePos x="0" y="0"/>
                <wp:positionH relativeFrom="page">
                  <wp:posOffset>485775</wp:posOffset>
                </wp:positionH>
                <wp:positionV relativeFrom="paragraph">
                  <wp:posOffset>431800</wp:posOffset>
                </wp:positionV>
                <wp:extent cx="6448425" cy="9525"/>
                <wp:effectExtent l="0" t="0" r="28575" b="28575"/>
                <wp:wrapTopAndBottom/>
                <wp:docPr id="1" name="直接连接符 2"/>
                <wp:cNvGraphicFramePr/>
                <a:graphic xmlns:a="http://schemas.openxmlformats.org/drawingml/2006/main">
                  <a:graphicData uri="http://schemas.microsoft.com/office/word/2010/wordprocessingShape">
                    <wps:wsp>
                      <wps:cNvCnPr/>
                      <wps:spPr>
                        <a:xfrm flipV="1">
                          <a:off x="0" y="0"/>
                          <a:ext cx="6448425" cy="9525"/>
                        </a:xfrm>
                        <a:prstGeom prst="line">
                          <a:avLst/>
                        </a:prstGeom>
                        <a:noFill/>
                        <a:ln w="9525" cap="flat" cmpd="sng" algn="ctr">
                          <a:solidFill>
                            <a:srgbClr val="000000"/>
                          </a:solidFill>
                          <a:prstDash val="dash"/>
                        </a:ln>
                      </wps:spPr>
                      <wps:bodyPr/>
                    </wps:wsp>
                  </a:graphicData>
                </a:graphic>
              </wp:anchor>
            </w:drawing>
          </mc:Choice>
          <mc:Fallback>
            <w:pict>
              <v:line id="直接连接符 2" o:spid="_x0000_s1026" o:spt="20" style="position:absolute;left:0pt;flip:y;margin-left:38.25pt;margin-top:34pt;height:0.75pt;width:507.75pt;mso-position-horizontal-relative:page;mso-wrap-distance-bottom:0pt;mso-wrap-distance-top:0pt;z-index:251659264;mso-width-relative:page;mso-height-relative:page;" filled="f" stroked="t" coordsize="21600,21600" o:gfxdata="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BAwMx/UAAAACQEAAA8AAAAA&#10;AAAAAQAgAAAAIgAAAGRycy9kb3ducmV2LnhtbFBLAQIUABQAAAAIAIdO4kAyK7Ln3wEAAKYDAAAO&#10;AAAAAAAAAAEAIAAAACMBAABkcnMvZTJvRG9jLnhtbFBLBQYAAAAABgAGAFkBAAB0BQAAAAA=&#10;">
                <v:fill on="f" focussize="0,0"/>
                <v:stroke color="#000000" joinstyle="round" dashstyle="dash"/>
                <v:imagedata o:title=""/>
                <o:lock v:ext="edit" aspectratio="f"/>
                <w10:wrap type="topAndBottom"/>
              </v:line>
            </w:pict>
          </mc:Fallback>
        </mc:AlternateContent>
      </w:r>
      <w:r>
        <w:rPr>
          <w:rFonts w:hint="eastAsia" w:ascii="宋体" w:hAnsi="宋体" w:eastAsia="宋体" w:cs="宋体"/>
          <w:sz w:val="24"/>
          <w14:ligatures w14:val="none"/>
        </w:rPr>
        <w:t>确认回执</w:t>
      </w:r>
    </w:p>
    <w:p w14:paraId="17F73B8D">
      <w:pPr>
        <w:spacing w:before="156" w:beforeLines="50" w:after="0" w:line="276" w:lineRule="auto"/>
        <w:ind w:firstLine="480" w:firstLineChars="200"/>
        <w:jc w:val="both"/>
        <w:rPr>
          <w:rFonts w:hint="eastAsia" w:ascii="宋体" w:hAnsi="宋体" w:eastAsia="宋体" w:cs="宋体"/>
          <w:sz w:val="24"/>
          <w14:ligatures w14:val="none"/>
        </w:rPr>
      </w:pPr>
      <w:r>
        <w:rPr>
          <w:rFonts w:hint="eastAsia" w:ascii="宋体" w:hAnsi="宋体" w:eastAsia="宋体" w:cs="宋体"/>
          <w:sz w:val="24"/>
          <w14:ligatures w14:val="none"/>
        </w:rPr>
        <w:t>以上《供应商供货异常处理方式》我司已审阅并确认执行。</w:t>
      </w:r>
    </w:p>
    <w:p w14:paraId="02B44474">
      <w:pPr>
        <w:spacing w:before="156" w:beforeLines="50" w:after="0" w:line="276" w:lineRule="auto"/>
        <w:ind w:firstLine="480" w:firstLineChars="200"/>
        <w:jc w:val="both"/>
        <w:rPr>
          <w:rFonts w:hint="eastAsia" w:ascii="宋体" w:hAnsi="宋体" w:eastAsia="宋体" w:cs="宋体"/>
          <w:sz w:val="24"/>
          <w14:ligatures w14:val="none"/>
        </w:rPr>
      </w:pPr>
    </w:p>
    <w:p w14:paraId="58B2BA68">
      <w:pPr>
        <w:spacing w:before="156" w:beforeLines="50" w:after="0" w:line="276" w:lineRule="auto"/>
        <w:ind w:firstLine="480" w:firstLineChars="200"/>
        <w:jc w:val="right"/>
        <w:rPr>
          <w:rFonts w:hint="eastAsia" w:ascii="宋体" w:hAnsi="宋体" w:eastAsia="宋体" w:cs="宋体"/>
          <w:sz w:val="24"/>
          <w14:ligatures w14:val="none"/>
        </w:rPr>
      </w:pPr>
      <w:r>
        <w:rPr>
          <w:rFonts w:hint="eastAsia" w:ascii="宋体" w:hAnsi="宋体" w:eastAsia="宋体" w:cs="宋体"/>
          <w:sz w:val="24"/>
          <w14:ligatures w14:val="none"/>
        </w:rPr>
        <w:t xml:space="preserve">公司签章：                </w:t>
      </w:r>
    </w:p>
    <w:p w14:paraId="5BA5FE53">
      <w:pPr>
        <w:spacing w:before="156" w:beforeLines="50" w:after="0" w:line="276" w:lineRule="auto"/>
        <w:ind w:firstLine="480" w:firstLineChars="200"/>
        <w:jc w:val="right"/>
        <w:rPr>
          <w:rFonts w:hint="eastAsia" w:ascii="宋体" w:hAnsi="宋体" w:eastAsia="宋体" w:cs="宋体"/>
          <w:sz w:val="21"/>
          <w14:ligatures w14:val="none"/>
        </w:rPr>
      </w:pPr>
      <w:r>
        <w:rPr>
          <w:rFonts w:hint="eastAsia" w:ascii="宋体" w:hAnsi="宋体" w:eastAsia="宋体" w:cs="宋体"/>
          <w:sz w:val="24"/>
          <w14:ligatures w14:val="none"/>
        </w:rPr>
        <w:t xml:space="preserve">日    期：                </w:t>
      </w:r>
    </w:p>
    <w:p w14:paraId="0A1A9F21">
      <w:pPr>
        <w:spacing w:before="156" w:beforeLines="50" w:after="0" w:line="276" w:lineRule="auto"/>
        <w:ind w:right="210" w:firstLine="420" w:firstLineChars="200"/>
        <w:jc w:val="right"/>
        <w:rPr>
          <w:rFonts w:hint="eastAsia" w:ascii="宋体" w:hAnsi="宋体" w:eastAsia="宋体" w:cs="宋体"/>
          <w:sz w:val="21"/>
          <w14:ligatures w14:val="none"/>
        </w:rPr>
        <w:sectPr>
          <w:footerReference r:id="rId5" w:type="default"/>
          <w:pgSz w:w="11906" w:h="16838"/>
          <w:pgMar w:top="1418" w:right="1152" w:bottom="1418" w:left="1152" w:header="851" w:footer="992" w:gutter="0"/>
          <w:cols w:space="720" w:num="1"/>
          <w:docGrid w:type="lines" w:linePitch="312" w:charSpace="0"/>
        </w:sectPr>
      </w:pPr>
    </w:p>
    <w:p w14:paraId="3A577AD2">
      <w:pPr>
        <w:tabs>
          <w:tab w:val="right" w:pos="9923"/>
        </w:tabs>
        <w:autoSpaceDE w:val="0"/>
        <w:autoSpaceDN w:val="0"/>
        <w:adjustRightInd w:val="0"/>
        <w:spacing w:after="0" w:line="240" w:lineRule="auto"/>
        <w:ind w:firstLine="480" w:firstLineChars="200"/>
        <w:jc w:val="both"/>
        <w:rPr>
          <w:rFonts w:hint="eastAsia" w:ascii="宋体" w:hAnsi="宋体" w:eastAsia="宋体" w:cs="宋体"/>
          <w:sz w:val="24"/>
          <w14:ligatures w14:val="none"/>
        </w:rPr>
      </w:pPr>
      <w:r>
        <w:rPr>
          <w:rFonts w:hint="eastAsia" w:ascii="宋体" w:hAnsi="宋体" w:eastAsia="宋体" w:cs="宋体"/>
          <w:sz w:val="24"/>
          <w14:ligatures w14:val="none"/>
        </w:rPr>
        <w:t>附件3</w:t>
      </w:r>
    </w:p>
    <w:p w14:paraId="490FAF38">
      <w:pPr>
        <w:tabs>
          <w:tab w:val="right" w:pos="9923"/>
        </w:tabs>
        <w:spacing w:after="0" w:line="240" w:lineRule="auto"/>
        <w:ind w:firstLine="643" w:firstLineChars="200"/>
        <w:jc w:val="center"/>
        <w:rPr>
          <w:rFonts w:hint="eastAsia" w:ascii="宋体" w:hAnsi="宋体" w:eastAsia="宋体" w:cs="宋体"/>
          <w:b/>
          <w:bCs/>
          <w:sz w:val="32"/>
          <w:szCs w:val="32"/>
          <w14:ligatures w14:val="none"/>
        </w:rPr>
      </w:pPr>
      <w:r>
        <w:rPr>
          <w:rFonts w:hint="eastAsia" w:ascii="宋体" w:hAnsi="宋体" w:eastAsia="宋体" w:cs="宋体"/>
          <w:b/>
          <w:bCs/>
          <w:sz w:val="32"/>
          <w:szCs w:val="32"/>
          <w14:ligatures w14:val="none"/>
        </w:rPr>
        <w:t>广州中大餐饮管理有限公司供应商行为准则</w:t>
      </w:r>
    </w:p>
    <w:p w14:paraId="79C1C484">
      <w:pPr>
        <w:widowControl/>
        <w:spacing w:before="280" w:after="280" w:line="240" w:lineRule="auto"/>
        <w:ind w:firstLine="480" w:firstLineChars="200"/>
        <w:jc w:val="both"/>
        <w:rPr>
          <w:rFonts w:ascii="宋体" w:hAnsi="Calibri" w:eastAsia="宋体" w:cs="Times New Roman"/>
          <w:sz w:val="24"/>
          <w14:ligatures w14:val="none"/>
        </w:rPr>
      </w:pPr>
    </w:p>
    <w:p w14:paraId="199CFF9B">
      <w:pPr>
        <w:autoSpaceDE w:val="0"/>
        <w:autoSpaceDN w:val="0"/>
        <w:adjustRightInd w:val="0"/>
        <w:snapToGrid w:val="0"/>
        <w:spacing w:before="156" w:beforeLines="50" w:after="156" w:afterLines="50" w:line="360" w:lineRule="auto"/>
        <w:ind w:firstLine="480" w:firstLineChars="200"/>
        <w:jc w:val="both"/>
        <w:rPr>
          <w:rFonts w:ascii="Calibri" w:hAnsi="Calibri" w:eastAsia="宋体" w:cs="Times New Roman"/>
          <w:sz w:val="24"/>
          <w14:ligatures w14:val="none"/>
        </w:rPr>
      </w:pPr>
      <w:bookmarkStart w:id="36" w:name="auto_fouce_2"/>
      <w:r>
        <w:rPr>
          <w:rFonts w:hint="eastAsia" w:ascii="宋体" w:hAnsi="宋体" w:eastAsia="宋体" w:cs="宋体"/>
          <w:sz w:val="24"/>
          <w14:ligatures w14:val="none"/>
        </w:rPr>
        <w:t>本行为准则旨在建立与供应商合作的基本原则，促进公平、透明和互利的业务关系，确保所有活动符合法律法规及行业实践。本行为准则适用于向广州中大餐饮管理有限公司</w:t>
      </w:r>
      <w:r>
        <w:rPr>
          <w:rFonts w:ascii="宋体" w:hAnsi="宋体" w:eastAsia="宋体" w:cs="宋体"/>
          <w:sz w:val="24"/>
          <w14:ligatures w14:val="none"/>
        </w:rPr>
        <w:t>（以下简称“中大餐饮”）</w:t>
      </w:r>
      <w:r>
        <w:rPr>
          <w:rFonts w:hint="eastAsia" w:ascii="宋体" w:hAnsi="宋体" w:eastAsia="宋体" w:cs="宋体"/>
          <w:sz w:val="24"/>
          <w14:ligatures w14:val="none"/>
        </w:rPr>
        <w:t>提供货物和服务的供应商，明确了供应商的基本职责。中大餐饮保留基于项目合规及经营需要单方变更本行为准则之要求的权利，变更自书面通知供应商之日起生效。如发生此类变更，请供应商予以配合</w:t>
      </w:r>
      <w:bookmarkEnd w:id="36"/>
      <w:bookmarkStart w:id="37" w:name="auto_fouce_1"/>
      <w:r>
        <w:rPr>
          <w:rFonts w:hint="eastAsia" w:ascii="宋体" w:hAnsi="宋体" w:eastAsia="宋体" w:cs="宋体"/>
          <w:sz w:val="24"/>
          <w14:ligatures w14:val="none"/>
        </w:rPr>
        <w:t>。中大餐饮对本准则的合理变更不视为违约，供应商不得据此主张任何赔偿或抗辩。</w:t>
      </w:r>
      <w:bookmarkEnd w:id="37"/>
    </w:p>
    <w:p w14:paraId="37069654">
      <w:pPr>
        <w:autoSpaceDE w:val="0"/>
        <w:autoSpaceDN w:val="0"/>
        <w:adjustRightInd w:val="0"/>
        <w:snapToGrid w:val="0"/>
        <w:spacing w:before="156" w:beforeLines="50" w:after="156" w:afterLines="50" w:line="360" w:lineRule="auto"/>
        <w:ind w:firstLine="480" w:firstLineChars="200"/>
        <w:jc w:val="both"/>
        <w:rPr>
          <w:rFonts w:hint="eastAsia" w:ascii="宋体" w:hAnsi="宋体" w:eastAsia="宋体" w:cs="宋体"/>
          <w:sz w:val="24"/>
          <w14:ligatures w14:val="none"/>
        </w:rPr>
      </w:pPr>
      <w:r>
        <w:rPr>
          <w:rFonts w:hint="eastAsia" w:ascii="宋体" w:hAnsi="宋体" w:eastAsia="宋体" w:cs="宋体"/>
          <w:sz w:val="24"/>
          <w14:ligatures w14:val="none"/>
        </w:rPr>
        <w:t>一、合规经营</w:t>
      </w:r>
    </w:p>
    <w:p w14:paraId="12C1F720">
      <w:pPr>
        <w:autoSpaceDE w:val="0"/>
        <w:autoSpaceDN w:val="0"/>
        <w:adjustRightInd w:val="0"/>
        <w:snapToGrid w:val="0"/>
        <w:spacing w:before="156" w:beforeLines="50" w:after="156" w:afterLines="50" w:line="360" w:lineRule="auto"/>
        <w:ind w:firstLine="480" w:firstLineChars="200"/>
        <w:jc w:val="both"/>
        <w:rPr>
          <w:rFonts w:hint="eastAsia" w:ascii="宋体" w:hAnsi="宋体" w:eastAsia="宋体" w:cs="宋体"/>
          <w:sz w:val="24"/>
          <w14:ligatures w14:val="none"/>
        </w:rPr>
      </w:pPr>
      <w:r>
        <w:rPr>
          <w:rFonts w:hint="eastAsia" w:ascii="宋体" w:hAnsi="宋体" w:eastAsia="宋体" w:cs="宋体"/>
          <w:sz w:val="24"/>
          <w14:ligatures w14:val="none"/>
        </w:rPr>
        <w:t>1.</w:t>
      </w:r>
      <w:bookmarkStart w:id="38" w:name="auto_fouce_3"/>
      <w:r>
        <w:rPr>
          <w:rFonts w:hint="eastAsia" w:ascii="宋体" w:hAnsi="宋体" w:eastAsia="宋体" w:cs="宋体"/>
          <w:sz w:val="24"/>
          <w14:ligatures w14:val="none"/>
        </w:rPr>
        <w:t>法律法规遵守：供应商必须严格遵守所有适用的国家法律法规及中大餐饮不时更新的内部政策标准，禁止任何形式的欺诈、贿赂或非法行为。</w:t>
      </w:r>
      <w:bookmarkEnd w:id="38"/>
    </w:p>
    <w:p w14:paraId="36323B9A">
      <w:pPr>
        <w:autoSpaceDE w:val="0"/>
        <w:autoSpaceDN w:val="0"/>
        <w:adjustRightInd w:val="0"/>
        <w:snapToGrid w:val="0"/>
        <w:spacing w:before="156" w:beforeLines="50" w:after="156" w:afterLines="50" w:line="360" w:lineRule="auto"/>
        <w:ind w:firstLine="480" w:firstLineChars="200"/>
        <w:jc w:val="both"/>
        <w:rPr>
          <w:rFonts w:hint="eastAsia" w:ascii="宋体" w:hAnsi="宋体" w:eastAsia="宋体" w:cs="宋体"/>
          <w:sz w:val="24"/>
          <w14:ligatures w14:val="none"/>
        </w:rPr>
      </w:pPr>
      <w:r>
        <w:rPr>
          <w:rFonts w:hint="eastAsia" w:ascii="宋体" w:hAnsi="宋体" w:eastAsia="宋体" w:cs="宋体"/>
          <w:sz w:val="24"/>
          <w14:ligatures w14:val="none"/>
        </w:rPr>
        <w:t>2.</w:t>
      </w:r>
      <w:bookmarkStart w:id="39" w:name="auto_fouce_4"/>
      <w:r>
        <w:rPr>
          <w:rFonts w:hint="eastAsia" w:ascii="宋体" w:hAnsi="宋体" w:eastAsia="宋体" w:cs="宋体"/>
          <w:sz w:val="24"/>
          <w14:ligatures w14:val="none"/>
        </w:rPr>
        <w:t>反贿赂与反腐败：坚决杜绝行贿、受贿或利益输送行为，确保商业活动真实透明。供应商应建立并持续完善内部监督机制，确保有效预防、发现及纠正违规行为，并向中大餐饮定期提交合规报告。供应商因监督失职导致的违规行为，应承担相应的法律责任。</w:t>
      </w:r>
      <w:bookmarkEnd w:id="39"/>
    </w:p>
    <w:p w14:paraId="40254688">
      <w:pPr>
        <w:autoSpaceDE w:val="0"/>
        <w:autoSpaceDN w:val="0"/>
        <w:adjustRightInd w:val="0"/>
        <w:snapToGrid w:val="0"/>
        <w:spacing w:before="156" w:beforeLines="50" w:after="156" w:afterLines="50" w:line="360" w:lineRule="auto"/>
        <w:ind w:firstLine="480" w:firstLineChars="200"/>
        <w:jc w:val="both"/>
        <w:rPr>
          <w:rFonts w:hint="eastAsia" w:ascii="宋体" w:hAnsi="宋体" w:eastAsia="宋体" w:cs="宋体"/>
          <w:sz w:val="24"/>
          <w14:ligatures w14:val="none"/>
        </w:rPr>
      </w:pPr>
      <w:r>
        <w:rPr>
          <w:rFonts w:hint="eastAsia" w:ascii="宋体" w:hAnsi="宋体" w:eastAsia="宋体" w:cs="宋体"/>
          <w:sz w:val="24"/>
          <w14:ligatures w14:val="none"/>
        </w:rPr>
        <w:t>3.数据保护与隐私：在处理客户或公司数据时，供应商需遵循数据安全标准，防止信息泄露。</w:t>
      </w:r>
    </w:p>
    <w:p w14:paraId="710FA319">
      <w:pPr>
        <w:autoSpaceDE w:val="0"/>
        <w:autoSpaceDN w:val="0"/>
        <w:adjustRightInd w:val="0"/>
        <w:snapToGrid w:val="0"/>
        <w:spacing w:before="156" w:beforeLines="50" w:after="156" w:afterLines="50" w:line="360" w:lineRule="auto"/>
        <w:ind w:firstLine="480" w:firstLineChars="200"/>
        <w:jc w:val="both"/>
        <w:rPr>
          <w:rFonts w:hint="eastAsia" w:ascii="宋体" w:hAnsi="宋体" w:eastAsia="宋体" w:cs="宋体"/>
          <w:sz w:val="24"/>
          <w14:ligatures w14:val="none"/>
        </w:rPr>
      </w:pPr>
      <w:r>
        <w:rPr>
          <w:rFonts w:hint="eastAsia" w:ascii="宋体" w:hAnsi="宋体" w:eastAsia="宋体" w:cs="宋体"/>
          <w:sz w:val="24"/>
          <w14:ligatures w14:val="none"/>
        </w:rPr>
        <w:t>二、道德与诚信</w:t>
      </w:r>
    </w:p>
    <w:p w14:paraId="7FF0F229">
      <w:pPr>
        <w:autoSpaceDE w:val="0"/>
        <w:autoSpaceDN w:val="0"/>
        <w:adjustRightInd w:val="0"/>
        <w:snapToGrid w:val="0"/>
        <w:spacing w:before="156" w:beforeLines="50" w:after="156" w:afterLines="50" w:line="360" w:lineRule="auto"/>
        <w:ind w:firstLine="480" w:firstLineChars="200"/>
        <w:jc w:val="both"/>
        <w:rPr>
          <w:rFonts w:hint="eastAsia" w:ascii="宋体" w:hAnsi="宋体" w:eastAsia="宋体" w:cs="宋体"/>
          <w:sz w:val="24"/>
          <w14:ligatures w14:val="none"/>
        </w:rPr>
      </w:pPr>
      <w:r>
        <w:rPr>
          <w:rFonts w:hint="eastAsia" w:ascii="宋体" w:hAnsi="宋体" w:eastAsia="宋体" w:cs="宋体"/>
          <w:sz w:val="24"/>
          <w14:ligatures w14:val="none"/>
        </w:rPr>
        <w:t>1.公平竞争：禁止通过不正当手段获取商业优势，如操纵市场或恶意诋毁竞争对手。所有交易应基于质量、服务和价格等合法因素。</w:t>
      </w:r>
    </w:p>
    <w:p w14:paraId="5987074E">
      <w:pPr>
        <w:autoSpaceDE w:val="0"/>
        <w:autoSpaceDN w:val="0"/>
        <w:adjustRightInd w:val="0"/>
        <w:snapToGrid w:val="0"/>
        <w:spacing w:before="156" w:beforeLines="50" w:after="156" w:afterLines="50" w:line="360" w:lineRule="auto"/>
        <w:ind w:firstLine="480" w:firstLineChars="200"/>
        <w:jc w:val="both"/>
        <w:rPr>
          <w:rFonts w:hint="eastAsia" w:ascii="宋体" w:hAnsi="宋体" w:eastAsia="宋体" w:cs="宋体"/>
          <w:sz w:val="24"/>
          <w14:ligatures w14:val="none"/>
        </w:rPr>
      </w:pPr>
      <w:r>
        <w:rPr>
          <w:rFonts w:hint="eastAsia" w:ascii="宋体" w:hAnsi="宋体" w:eastAsia="宋体" w:cs="宋体"/>
          <w:sz w:val="24"/>
          <w14:ligatures w14:val="none"/>
        </w:rPr>
        <w:t>2.</w:t>
      </w:r>
      <w:bookmarkStart w:id="40" w:name="auto_fouce_5"/>
      <w:r>
        <w:rPr>
          <w:rFonts w:hint="eastAsia" w:ascii="宋体" w:hAnsi="宋体" w:eastAsia="宋体" w:cs="宋体"/>
          <w:sz w:val="24"/>
          <w14:ligatures w14:val="none"/>
        </w:rPr>
        <w:t>利益冲突管理：供应商应在合作前及合作期间，如发现可能影响业务公正性的利益关系，应在3个工作日内以书面形式向中大餐饮披露。供应商未按要求披露的，视为重大违约，中大餐饮有权终止合同并要求赔偿。该义务适用于所有个人或关联方的利益冲突。</w:t>
      </w:r>
      <w:bookmarkEnd w:id="40"/>
    </w:p>
    <w:p w14:paraId="2C301148">
      <w:pPr>
        <w:autoSpaceDE w:val="0"/>
        <w:autoSpaceDN w:val="0"/>
        <w:adjustRightInd w:val="0"/>
        <w:snapToGrid w:val="0"/>
        <w:spacing w:before="156" w:beforeLines="50" w:after="156" w:afterLines="50" w:line="360" w:lineRule="auto"/>
        <w:ind w:firstLine="480" w:firstLineChars="200"/>
        <w:jc w:val="both"/>
        <w:rPr>
          <w:rFonts w:hint="eastAsia" w:ascii="宋体" w:hAnsi="宋体" w:eastAsia="宋体" w:cs="宋体"/>
          <w:sz w:val="24"/>
          <w14:ligatures w14:val="none"/>
        </w:rPr>
      </w:pPr>
      <w:r>
        <w:rPr>
          <w:rFonts w:hint="eastAsia" w:ascii="宋体" w:hAnsi="宋体" w:eastAsia="宋体" w:cs="宋体"/>
          <w:sz w:val="24"/>
          <w14:ligatures w14:val="none"/>
        </w:rPr>
        <w:t>3.知识产权尊重：保护并尊重知识产权，包括专利、商标和版权，禁止未经授权的使用或复制。</w:t>
      </w:r>
    </w:p>
    <w:p w14:paraId="4B13B7BE">
      <w:pPr>
        <w:autoSpaceDE w:val="0"/>
        <w:autoSpaceDN w:val="0"/>
        <w:adjustRightInd w:val="0"/>
        <w:snapToGrid w:val="0"/>
        <w:spacing w:before="156" w:beforeLines="50" w:after="156" w:afterLines="50" w:line="360" w:lineRule="auto"/>
        <w:ind w:firstLine="480" w:firstLineChars="200"/>
        <w:jc w:val="both"/>
        <w:rPr>
          <w:rFonts w:hint="eastAsia" w:ascii="宋体" w:hAnsi="宋体" w:eastAsia="宋体" w:cs="宋体"/>
          <w:sz w:val="24"/>
          <w14:ligatures w14:val="none"/>
        </w:rPr>
      </w:pPr>
      <w:r>
        <w:rPr>
          <w:rFonts w:hint="eastAsia" w:ascii="宋体" w:hAnsi="宋体" w:eastAsia="宋体" w:cs="宋体"/>
          <w:sz w:val="24"/>
          <w14:ligatures w14:val="none"/>
        </w:rPr>
        <w:t>三、品质与安全</w:t>
      </w:r>
    </w:p>
    <w:p w14:paraId="4E7CE3E4">
      <w:pPr>
        <w:autoSpaceDE w:val="0"/>
        <w:autoSpaceDN w:val="0"/>
        <w:adjustRightInd w:val="0"/>
        <w:snapToGrid w:val="0"/>
        <w:spacing w:before="156" w:beforeLines="50" w:after="156" w:afterLines="50" w:line="360" w:lineRule="auto"/>
        <w:ind w:firstLine="480" w:firstLineChars="200"/>
        <w:jc w:val="both"/>
        <w:rPr>
          <w:rFonts w:hint="eastAsia" w:ascii="宋体" w:hAnsi="宋体" w:eastAsia="宋体" w:cs="宋体"/>
          <w:sz w:val="24"/>
          <w14:ligatures w14:val="none"/>
        </w:rPr>
      </w:pPr>
      <w:r>
        <w:rPr>
          <w:rFonts w:hint="eastAsia" w:ascii="宋体" w:hAnsi="宋体" w:eastAsia="宋体" w:cs="宋体"/>
          <w:sz w:val="24"/>
          <w14:ligatures w14:val="none"/>
        </w:rPr>
        <w:t>1.</w:t>
      </w:r>
      <w:bookmarkStart w:id="41" w:name="auto_fouce_6"/>
      <w:r>
        <w:rPr>
          <w:rFonts w:hint="eastAsia" w:ascii="宋体" w:hAnsi="宋体" w:eastAsia="宋体" w:cs="宋体"/>
          <w:sz w:val="24"/>
          <w14:ligatures w14:val="none"/>
        </w:rPr>
        <w:t>产品质量保证：供应商须提供符合中大餐饮指定标准或行业最高标准的安全产品，建立经我方认可的质量管理体系，并接受我方不定期抽检，抽检不合格视为根本违约，确保从原料到成品的全程可控。若因产品质量引发事故或投诉，供应商应赔偿中大餐饮全部损失（含客户索赔及商誉损害）。</w:t>
      </w:r>
      <w:bookmarkEnd w:id="41"/>
    </w:p>
    <w:p w14:paraId="283F82F0">
      <w:pPr>
        <w:autoSpaceDE w:val="0"/>
        <w:autoSpaceDN w:val="0"/>
        <w:adjustRightInd w:val="0"/>
        <w:snapToGrid w:val="0"/>
        <w:spacing w:before="156" w:beforeLines="50" w:after="156" w:afterLines="50" w:line="360" w:lineRule="auto"/>
        <w:ind w:firstLine="480" w:firstLineChars="200"/>
        <w:jc w:val="both"/>
        <w:rPr>
          <w:rFonts w:hint="eastAsia" w:ascii="宋体" w:hAnsi="宋体" w:eastAsia="宋体" w:cs="宋体"/>
          <w:sz w:val="24"/>
          <w14:ligatures w14:val="none"/>
        </w:rPr>
      </w:pPr>
      <w:r>
        <w:rPr>
          <w:rFonts w:hint="eastAsia" w:ascii="宋体" w:hAnsi="宋体" w:eastAsia="宋体" w:cs="宋体"/>
          <w:sz w:val="24"/>
          <w14:ligatures w14:val="none"/>
        </w:rPr>
        <w:t>2.</w:t>
      </w:r>
      <w:bookmarkStart w:id="42" w:name="auto_fouce_7"/>
      <w:r>
        <w:rPr>
          <w:rFonts w:hint="eastAsia" w:ascii="宋体" w:hAnsi="宋体" w:eastAsia="宋体" w:cs="宋体"/>
          <w:sz w:val="24"/>
          <w14:ligatures w14:val="none"/>
        </w:rPr>
        <w:t>服务可靠性：在接到中大餐饮通知后24小时内响应并48小时内解决客户问题，提升客户满意度。</w:t>
      </w:r>
      <w:bookmarkEnd w:id="42"/>
    </w:p>
    <w:p w14:paraId="278EF440">
      <w:pPr>
        <w:autoSpaceDE w:val="0"/>
        <w:autoSpaceDN w:val="0"/>
        <w:adjustRightInd w:val="0"/>
        <w:snapToGrid w:val="0"/>
        <w:spacing w:before="156" w:beforeLines="50" w:after="156" w:afterLines="50" w:line="360" w:lineRule="auto"/>
        <w:ind w:firstLine="480" w:firstLineChars="200"/>
        <w:jc w:val="both"/>
        <w:rPr>
          <w:rFonts w:hint="eastAsia" w:ascii="宋体" w:hAnsi="宋体" w:eastAsia="宋体" w:cs="宋体"/>
          <w:sz w:val="24"/>
          <w14:ligatures w14:val="none"/>
        </w:rPr>
      </w:pPr>
      <w:r>
        <w:rPr>
          <w:rFonts w:hint="eastAsia" w:ascii="宋体" w:hAnsi="宋体" w:eastAsia="宋体" w:cs="宋体"/>
          <w:sz w:val="24"/>
          <w14:ligatures w14:val="none"/>
        </w:rPr>
        <w:t>3.</w:t>
      </w:r>
      <w:bookmarkStart w:id="43" w:name="auto_fouce_8"/>
      <w:r>
        <w:rPr>
          <w:rFonts w:hint="eastAsia" w:ascii="宋体" w:hAnsi="宋体" w:eastAsia="宋体" w:cs="宋体"/>
          <w:sz w:val="24"/>
          <w14:ligatures w14:val="none"/>
        </w:rPr>
        <w:t>安全标准：遵守安全生产规范，预防事故，保护员工和消费者安全，每季度进行风险评估和培训，并向中大餐饮提交报告。</w:t>
      </w:r>
      <w:bookmarkEnd w:id="43"/>
    </w:p>
    <w:p w14:paraId="323D0488">
      <w:pPr>
        <w:autoSpaceDE w:val="0"/>
        <w:autoSpaceDN w:val="0"/>
        <w:adjustRightInd w:val="0"/>
        <w:snapToGrid w:val="0"/>
        <w:spacing w:before="156" w:beforeLines="50" w:after="156" w:afterLines="50" w:line="360" w:lineRule="auto"/>
        <w:ind w:firstLine="480" w:firstLineChars="200"/>
        <w:jc w:val="both"/>
        <w:rPr>
          <w:rFonts w:hint="eastAsia" w:ascii="宋体" w:hAnsi="宋体" w:eastAsia="宋体" w:cs="宋体"/>
          <w:sz w:val="24"/>
          <w14:ligatures w14:val="none"/>
        </w:rPr>
      </w:pPr>
      <w:r>
        <w:rPr>
          <w:rFonts w:hint="eastAsia" w:ascii="宋体" w:hAnsi="宋体" w:eastAsia="宋体" w:cs="宋体"/>
          <w:sz w:val="24"/>
          <w14:ligatures w14:val="none"/>
        </w:rPr>
        <w:t>四、沟通与透明度</w:t>
      </w:r>
    </w:p>
    <w:p w14:paraId="69E3A19B">
      <w:pPr>
        <w:autoSpaceDE w:val="0"/>
        <w:autoSpaceDN w:val="0"/>
        <w:adjustRightInd w:val="0"/>
        <w:snapToGrid w:val="0"/>
        <w:spacing w:before="156" w:beforeLines="50" w:after="156" w:afterLines="50" w:line="360" w:lineRule="auto"/>
        <w:ind w:firstLine="480" w:firstLineChars="200"/>
        <w:jc w:val="both"/>
        <w:rPr>
          <w:rFonts w:hint="eastAsia" w:ascii="宋体" w:hAnsi="宋体" w:eastAsia="宋体" w:cs="宋体"/>
          <w:sz w:val="24"/>
          <w14:ligatures w14:val="none"/>
        </w:rPr>
      </w:pPr>
      <w:r>
        <w:rPr>
          <w:rFonts w:hint="eastAsia" w:ascii="宋体" w:hAnsi="宋体" w:eastAsia="宋体" w:cs="宋体"/>
          <w:sz w:val="24"/>
          <w14:ligatures w14:val="none"/>
        </w:rPr>
        <w:t>1.</w:t>
      </w:r>
      <w:bookmarkStart w:id="44" w:name="auto_fouce_9"/>
      <w:r>
        <w:rPr>
          <w:rFonts w:hint="eastAsia" w:ascii="宋体" w:hAnsi="宋体" w:eastAsia="宋体" w:cs="宋体"/>
          <w:sz w:val="24"/>
          <w14:ligatures w14:val="none"/>
        </w:rPr>
        <w:t>信息共享：供应商应在收到我方需求后24小时内，以中大餐饮认可的书面方式准确、完整、可验证地传递业务信息（如订单状态、交货时间等），并按双方约定的时间节点持续更新。若供应商迟延、误导或隐瞒关键信息，导致中大餐饮损失的，供应商应承担全部责任。</w:t>
      </w:r>
      <w:bookmarkEnd w:id="44"/>
    </w:p>
    <w:p w14:paraId="5CBBAD18">
      <w:pPr>
        <w:autoSpaceDE w:val="0"/>
        <w:autoSpaceDN w:val="0"/>
        <w:adjustRightInd w:val="0"/>
        <w:snapToGrid w:val="0"/>
        <w:spacing w:before="156" w:beforeLines="50" w:after="156" w:afterLines="50" w:line="360" w:lineRule="auto"/>
        <w:ind w:firstLine="480" w:firstLineChars="200"/>
        <w:jc w:val="both"/>
        <w:rPr>
          <w:rFonts w:hint="eastAsia" w:ascii="宋体" w:hAnsi="宋体" w:eastAsia="宋体" w:cs="宋体"/>
          <w:sz w:val="24"/>
          <w14:ligatures w14:val="none"/>
        </w:rPr>
      </w:pPr>
      <w:r>
        <w:rPr>
          <w:rFonts w:hint="eastAsia" w:ascii="宋体" w:hAnsi="宋体" w:eastAsia="宋体" w:cs="宋体"/>
          <w:sz w:val="24"/>
          <w14:ligatures w14:val="none"/>
        </w:rPr>
        <w:t>2.</w:t>
      </w:r>
      <w:bookmarkStart w:id="45" w:name="auto_fouce_10"/>
      <w:r>
        <w:rPr>
          <w:rFonts w:hint="eastAsia" w:ascii="宋体" w:hAnsi="宋体" w:eastAsia="宋体" w:cs="宋体"/>
          <w:sz w:val="24"/>
          <w14:ligatures w14:val="none"/>
        </w:rPr>
        <w:t>反馈机制：设立开放渠道接收客户、中大餐饮及合作方反馈，主动改进服务，促进持续优化。</w:t>
      </w:r>
      <w:bookmarkEnd w:id="45"/>
    </w:p>
    <w:p w14:paraId="26EC603D">
      <w:pPr>
        <w:autoSpaceDE w:val="0"/>
        <w:autoSpaceDN w:val="0"/>
        <w:adjustRightInd w:val="0"/>
        <w:snapToGrid w:val="0"/>
        <w:spacing w:before="156" w:beforeLines="50" w:after="156" w:afterLines="50" w:line="360" w:lineRule="auto"/>
        <w:ind w:firstLine="480" w:firstLineChars="200"/>
        <w:jc w:val="both"/>
        <w:rPr>
          <w:rFonts w:hint="eastAsia" w:ascii="宋体" w:hAnsi="宋体" w:eastAsia="宋体" w:cs="宋体"/>
          <w:sz w:val="24"/>
          <w14:ligatures w14:val="none"/>
        </w:rPr>
      </w:pPr>
      <w:r>
        <w:rPr>
          <w:rFonts w:hint="eastAsia" w:ascii="宋体" w:hAnsi="宋体" w:eastAsia="宋体" w:cs="宋体"/>
          <w:sz w:val="24"/>
          <w14:ligatures w14:val="none"/>
        </w:rPr>
        <w:t>3.</w:t>
      </w:r>
      <w:bookmarkStart w:id="46" w:name="auto_fouce_11"/>
      <w:r>
        <w:rPr>
          <w:rFonts w:hint="eastAsia" w:ascii="宋体" w:hAnsi="宋体" w:eastAsia="宋体" w:cs="宋体"/>
          <w:sz w:val="24"/>
          <w14:ligatures w14:val="none"/>
        </w:rPr>
        <w:t>危机管理：在突发事件发生后2小时内响应，并每日向中大餐饮汇报进展，透明沟通影响和解决方案，减少负面影响。</w:t>
      </w:r>
      <w:bookmarkEnd w:id="46"/>
    </w:p>
    <w:p w14:paraId="5534DAED">
      <w:pPr>
        <w:autoSpaceDE w:val="0"/>
        <w:autoSpaceDN w:val="0"/>
        <w:adjustRightInd w:val="0"/>
        <w:snapToGrid w:val="0"/>
        <w:spacing w:before="156" w:beforeLines="50" w:after="156" w:afterLines="50" w:line="360" w:lineRule="auto"/>
        <w:ind w:firstLine="480" w:firstLineChars="200"/>
        <w:jc w:val="both"/>
        <w:rPr>
          <w:rFonts w:hint="eastAsia" w:ascii="宋体" w:hAnsi="宋体" w:eastAsia="宋体" w:cs="宋体"/>
          <w:sz w:val="24"/>
          <w14:ligatures w14:val="none"/>
        </w:rPr>
      </w:pPr>
      <w:r>
        <w:rPr>
          <w:rFonts w:hint="eastAsia" w:ascii="宋体" w:hAnsi="宋体" w:eastAsia="宋体" w:cs="宋体"/>
          <w:sz w:val="24"/>
          <w14:ligatures w14:val="none"/>
        </w:rPr>
        <w:t>4.</w:t>
      </w:r>
      <w:bookmarkStart w:id="47" w:name="auto_fouce_12"/>
      <w:r>
        <w:rPr>
          <w:rFonts w:hint="eastAsia" w:ascii="宋体" w:hAnsi="宋体" w:eastAsia="宋体" w:cs="宋体"/>
          <w:sz w:val="24"/>
          <w14:ligatures w14:val="none"/>
        </w:rPr>
        <w:t>绩效评估：中大餐饮有权定期审查合作表现，设定改进目标，供应商无条件接受中大餐饮的绩效评估标准及结果，确保长期符合准则要求。</w:t>
      </w:r>
      <w:bookmarkEnd w:id="47"/>
    </w:p>
    <w:p w14:paraId="67BF9CF9">
      <w:pPr>
        <w:autoSpaceDE w:val="0"/>
        <w:autoSpaceDN w:val="0"/>
        <w:adjustRightInd w:val="0"/>
        <w:snapToGrid w:val="0"/>
        <w:spacing w:before="156" w:beforeLines="50" w:after="156" w:afterLines="50" w:line="360" w:lineRule="auto"/>
        <w:ind w:firstLine="480" w:firstLineChars="200"/>
        <w:jc w:val="both"/>
        <w:rPr>
          <w:rFonts w:hint="eastAsia" w:ascii="宋体" w:hAnsi="宋体" w:eastAsia="宋体" w:cs="宋体"/>
          <w:sz w:val="24"/>
          <w14:ligatures w14:val="none"/>
        </w:rPr>
      </w:pPr>
      <w:r>
        <w:rPr>
          <w:rFonts w:hint="eastAsia" w:ascii="宋体" w:hAnsi="宋体" w:eastAsia="宋体" w:cs="宋体"/>
          <w:sz w:val="24"/>
          <w14:ligatures w14:val="none"/>
        </w:rPr>
        <w:t>五、违规处理</w:t>
      </w:r>
    </w:p>
    <w:p w14:paraId="3CF5E55B">
      <w:pPr>
        <w:autoSpaceDE w:val="0"/>
        <w:autoSpaceDN w:val="0"/>
        <w:adjustRightInd w:val="0"/>
        <w:snapToGrid w:val="0"/>
        <w:spacing w:before="156" w:beforeLines="50" w:after="156" w:afterLines="50" w:line="360" w:lineRule="auto"/>
        <w:ind w:firstLine="480" w:firstLineChars="200"/>
        <w:jc w:val="both"/>
        <w:rPr>
          <w:rFonts w:hint="eastAsia" w:ascii="宋体" w:hAnsi="宋体" w:eastAsia="宋体" w:cs="宋体"/>
          <w:sz w:val="24"/>
          <w14:ligatures w14:val="none"/>
        </w:rPr>
      </w:pPr>
      <w:r>
        <w:rPr>
          <w:rFonts w:hint="eastAsia" w:ascii="宋体" w:hAnsi="宋体" w:eastAsia="宋体" w:cs="宋体"/>
          <w:sz w:val="24"/>
          <w14:ligatures w14:val="none"/>
        </w:rPr>
        <w:t>1.</w:t>
      </w:r>
      <w:bookmarkStart w:id="48" w:name="auto_fouce_13"/>
      <w:r>
        <w:rPr>
          <w:rFonts w:hint="eastAsia" w:ascii="宋体" w:hAnsi="宋体" w:eastAsia="宋体" w:cs="宋体"/>
          <w:sz w:val="24"/>
          <w14:ligatures w14:val="none"/>
        </w:rPr>
        <w:t>举报与调查：设立举报机制保护举报人，供应商举报时需提供书面证据材料，中大餐饮有权对无实质证据的举报不予调查。对违规行为由中大餐饮主导调查，供应商应无条件配合我方或第三方审计机构，调查结论以我方认定为准，并采取纠正措施。</w:t>
      </w:r>
      <w:bookmarkEnd w:id="48"/>
    </w:p>
    <w:p w14:paraId="406CB949">
      <w:pPr>
        <w:autoSpaceDE w:val="0"/>
        <w:autoSpaceDN w:val="0"/>
        <w:adjustRightInd w:val="0"/>
        <w:snapToGrid w:val="0"/>
        <w:spacing w:before="156" w:beforeLines="50" w:after="156" w:afterLines="50" w:line="360" w:lineRule="auto"/>
        <w:ind w:firstLine="480" w:firstLineChars="200"/>
        <w:jc w:val="both"/>
        <w:rPr>
          <w:rFonts w:hint="eastAsia" w:ascii="宋体" w:hAnsi="宋体" w:eastAsia="宋体" w:cs="宋体"/>
          <w:sz w:val="24"/>
          <w14:ligatures w14:val="none"/>
        </w:rPr>
      </w:pPr>
      <w:r>
        <w:rPr>
          <w:rFonts w:hint="eastAsia" w:ascii="宋体" w:hAnsi="宋体" w:eastAsia="宋体" w:cs="宋体"/>
          <w:sz w:val="24"/>
          <w14:ligatures w14:val="none"/>
        </w:rPr>
        <w:t>2.</w:t>
      </w:r>
      <w:bookmarkStart w:id="49" w:name="auto_fouce_14"/>
      <w:r>
        <w:rPr>
          <w:rFonts w:hint="eastAsia" w:ascii="宋体" w:hAnsi="宋体" w:eastAsia="宋体" w:cs="宋体"/>
          <w:sz w:val="24"/>
          <w14:ligatures w14:val="none"/>
        </w:rPr>
        <w:t>纪律措施及违约责任：供应商违反本准则任何条款（包括但不限于第一至四条）均构成违约，中大餐饮有权根据违规严重程度，直接采取警告、暂停合作、罚款（金额由中大餐饮合理确定）、终止合同、追偿损失等处理措施，且不排除进一步追究法律责任。供应商须向中大餐饮承担全部损失（含直接损失、间接损失、可得利益损失及维权费用）；如因供应商违规导致中大餐饮遭受行政处罚，供应商应全额承担罚款及相关法律费用。若供应商未在收到书面通知后3个工作日内改正，中大餐饮有权立即终止合作并继续追责。</w:t>
      </w:r>
      <w:bookmarkEnd w:id="49"/>
    </w:p>
    <w:p w14:paraId="260D0E92">
      <w:pPr>
        <w:autoSpaceDE w:val="0"/>
        <w:autoSpaceDN w:val="0"/>
        <w:adjustRightInd w:val="0"/>
        <w:snapToGrid w:val="0"/>
        <w:spacing w:before="156" w:beforeLines="50" w:after="156" w:afterLines="50" w:line="360" w:lineRule="auto"/>
        <w:ind w:firstLine="480" w:firstLineChars="200"/>
        <w:jc w:val="both"/>
        <w:rPr>
          <w:rFonts w:hint="eastAsia" w:ascii="宋体" w:hAnsi="宋体" w:eastAsia="宋体" w:cs="宋体"/>
          <w:sz w:val="24"/>
          <w14:ligatures w14:val="none"/>
        </w:rPr>
      </w:pPr>
    </w:p>
    <w:p w14:paraId="5DF4C3D7">
      <w:pPr>
        <w:tabs>
          <w:tab w:val="left" w:leader="underscore" w:pos="3402"/>
          <w:tab w:val="left" w:pos="5103"/>
          <w:tab w:val="left" w:leader="underscore" w:pos="8505"/>
        </w:tabs>
        <w:autoSpaceDE w:val="0"/>
        <w:autoSpaceDN w:val="0"/>
        <w:adjustRightInd w:val="0"/>
        <w:spacing w:before="156" w:beforeLines="50" w:after="156" w:afterLines="50" w:line="360" w:lineRule="auto"/>
        <w:ind w:firstLine="480" w:firstLineChars="200"/>
        <w:jc w:val="center"/>
        <w:rPr>
          <w:rFonts w:hint="eastAsia" w:ascii="宋体" w:hAnsi="宋体" w:eastAsia="宋体" w:cs="宋体"/>
          <w:sz w:val="24"/>
          <w14:ligatures w14:val="none"/>
        </w:rPr>
      </w:pPr>
      <w:r>
        <w:rPr>
          <w:rFonts w:hint="eastAsia" w:ascii="宋体" w:hAnsi="宋体" w:eastAsia="宋体" w:cs="宋体"/>
          <w:sz w:val="24"/>
          <w14:ligatures w14:val="none"/>
        </w:rPr>
        <w:t xml:space="preserve">          </w:t>
      </w:r>
    </w:p>
    <w:p w14:paraId="1209EFEA">
      <w:pPr>
        <w:tabs>
          <w:tab w:val="left" w:leader="underscore" w:pos="3402"/>
          <w:tab w:val="left" w:pos="5103"/>
          <w:tab w:val="left" w:leader="underscore" w:pos="8505"/>
        </w:tabs>
        <w:autoSpaceDE w:val="0"/>
        <w:autoSpaceDN w:val="0"/>
        <w:adjustRightInd w:val="0"/>
        <w:spacing w:before="156" w:beforeLines="50" w:after="156" w:afterLines="50" w:line="360" w:lineRule="auto"/>
        <w:ind w:firstLine="480" w:firstLineChars="200"/>
        <w:jc w:val="center"/>
        <w:rPr>
          <w:rFonts w:hint="eastAsia" w:ascii="宋体" w:hAnsi="宋体" w:eastAsia="宋体" w:cs="宋体"/>
          <w:sz w:val="24"/>
          <w14:ligatures w14:val="none"/>
        </w:rPr>
      </w:pPr>
      <w:r>
        <w:rPr>
          <w:rFonts w:hint="eastAsia" w:ascii="宋体" w:hAnsi="宋体" w:eastAsia="宋体" w:cs="宋体"/>
          <w:sz w:val="24"/>
          <w14:ligatures w14:val="none"/>
        </w:rPr>
        <w:t xml:space="preserve">  法定代表人或授权代表签字：</w:t>
      </w:r>
    </w:p>
    <w:p w14:paraId="2245B190">
      <w:pPr>
        <w:tabs>
          <w:tab w:val="left" w:pos="3402"/>
          <w:tab w:val="left" w:pos="5103"/>
          <w:tab w:val="left" w:leader="underscore" w:pos="8505"/>
        </w:tabs>
        <w:autoSpaceDE w:val="0"/>
        <w:autoSpaceDN w:val="0"/>
        <w:adjustRightInd w:val="0"/>
        <w:spacing w:before="156" w:beforeLines="50" w:after="156" w:afterLines="50" w:line="360" w:lineRule="auto"/>
        <w:ind w:firstLine="480" w:firstLineChars="200"/>
        <w:jc w:val="center"/>
        <w:rPr>
          <w:rFonts w:hint="eastAsia" w:ascii="宋体" w:hAnsi="宋体" w:eastAsia="宋体" w:cs="宋体"/>
          <w:sz w:val="24"/>
          <w14:ligatures w14:val="none"/>
        </w:rPr>
      </w:pPr>
    </w:p>
    <w:p w14:paraId="66B994B6">
      <w:pPr>
        <w:tabs>
          <w:tab w:val="left" w:pos="3402"/>
          <w:tab w:val="left" w:pos="5103"/>
          <w:tab w:val="left" w:leader="underscore" w:pos="8505"/>
        </w:tabs>
        <w:autoSpaceDE w:val="0"/>
        <w:autoSpaceDN w:val="0"/>
        <w:adjustRightInd w:val="0"/>
        <w:spacing w:before="156" w:beforeLines="50" w:after="156" w:afterLines="50" w:line="360" w:lineRule="auto"/>
        <w:ind w:firstLine="480" w:firstLineChars="200"/>
        <w:jc w:val="both"/>
        <w:rPr>
          <w:rFonts w:hint="eastAsia" w:ascii="宋体" w:hAnsi="宋体" w:eastAsia="宋体" w:cs="宋体"/>
          <w:sz w:val="24"/>
          <w14:ligatures w14:val="none"/>
        </w:rPr>
      </w:pPr>
      <w:r>
        <w:rPr>
          <w:rFonts w:hint="eastAsia" w:ascii="宋体" w:hAnsi="宋体" w:eastAsia="宋体" w:cs="宋体"/>
          <w:sz w:val="24"/>
          <w14:ligatures w14:val="none"/>
        </w:rPr>
        <w:t>公司名称/印章：</w:t>
      </w:r>
    </w:p>
    <w:p w14:paraId="788AFB2E">
      <w:pPr>
        <w:tabs>
          <w:tab w:val="left" w:pos="3402"/>
          <w:tab w:val="left" w:pos="5103"/>
          <w:tab w:val="left" w:leader="underscore" w:pos="8505"/>
        </w:tabs>
        <w:autoSpaceDE w:val="0"/>
        <w:autoSpaceDN w:val="0"/>
        <w:adjustRightInd w:val="0"/>
        <w:spacing w:before="156" w:beforeLines="50" w:after="156" w:afterLines="50" w:line="360" w:lineRule="auto"/>
        <w:ind w:firstLine="480" w:firstLineChars="200"/>
        <w:jc w:val="both"/>
        <w:rPr>
          <w:rFonts w:hint="eastAsia" w:ascii="宋体" w:hAnsi="宋体" w:eastAsia="宋体" w:cs="宋体"/>
          <w:sz w:val="24"/>
          <w14:ligatures w14:val="none"/>
        </w:rPr>
      </w:pPr>
    </w:p>
    <w:p w14:paraId="06D31797">
      <w:pPr>
        <w:tabs>
          <w:tab w:val="left" w:pos="3402"/>
          <w:tab w:val="left" w:pos="5103"/>
          <w:tab w:val="left" w:leader="underscore" w:pos="8505"/>
        </w:tabs>
        <w:autoSpaceDE w:val="0"/>
        <w:autoSpaceDN w:val="0"/>
        <w:adjustRightInd w:val="0"/>
        <w:spacing w:before="156" w:beforeLines="50" w:after="156" w:afterLines="50" w:line="360" w:lineRule="auto"/>
        <w:ind w:firstLine="480" w:firstLineChars="200"/>
        <w:jc w:val="both"/>
        <w:rPr>
          <w:rFonts w:hint="eastAsia" w:ascii="宋体" w:hAnsi="宋体" w:eastAsia="宋体" w:cs="宋体"/>
          <w:sz w:val="24"/>
          <w14:ligatures w14:val="none"/>
        </w:rPr>
      </w:pPr>
      <w:r>
        <w:rPr>
          <w:rFonts w:hint="eastAsia" w:ascii="宋体" w:hAnsi="宋体" w:eastAsia="宋体" w:cs="宋体"/>
          <w:sz w:val="24"/>
          <w14:ligatures w14:val="none"/>
        </w:rPr>
        <w:t>日期：</w:t>
      </w:r>
    </w:p>
    <w:p w14:paraId="6B3CA357">
      <w:pPr>
        <w:autoSpaceDE w:val="0"/>
        <w:autoSpaceDN w:val="0"/>
        <w:adjustRightInd w:val="0"/>
        <w:spacing w:before="156" w:beforeLines="50" w:after="156" w:afterLines="50" w:line="360" w:lineRule="auto"/>
        <w:ind w:firstLine="480" w:firstLineChars="200"/>
        <w:jc w:val="both"/>
        <w:rPr>
          <w:rFonts w:hint="eastAsia" w:ascii="宋体" w:hAnsi="宋体" w:eastAsia="宋体" w:cs="宋体"/>
          <w:sz w:val="24"/>
          <w14:ligatures w14:val="none"/>
        </w:rPr>
      </w:pPr>
    </w:p>
    <w:p w14:paraId="1053363F">
      <w:pPr>
        <w:autoSpaceDE w:val="0"/>
        <w:autoSpaceDN w:val="0"/>
        <w:adjustRightInd w:val="0"/>
        <w:spacing w:before="156" w:beforeLines="50" w:after="156" w:afterLines="50" w:line="360" w:lineRule="auto"/>
        <w:ind w:firstLine="480" w:firstLineChars="200"/>
        <w:jc w:val="both"/>
        <w:rPr>
          <w:rFonts w:ascii="宋体" w:hAnsi="Calibri" w:eastAsia="宋体" w:cs="Times New Roman"/>
          <w:sz w:val="24"/>
          <w14:ligatures w14:val="none"/>
        </w:rPr>
      </w:pPr>
    </w:p>
    <w:p w14:paraId="6354C941">
      <w:pPr>
        <w:autoSpaceDE w:val="0"/>
        <w:autoSpaceDN w:val="0"/>
        <w:adjustRightInd w:val="0"/>
        <w:spacing w:before="156" w:beforeLines="50" w:after="156" w:afterLines="50" w:line="360" w:lineRule="auto"/>
        <w:ind w:firstLine="480" w:firstLineChars="200"/>
        <w:jc w:val="both"/>
        <w:rPr>
          <w:rFonts w:ascii="宋体" w:hAnsi="Calibri" w:eastAsia="宋体" w:cs="Times New Roman"/>
          <w:sz w:val="24"/>
          <w14:ligatures w14:val="none"/>
        </w:rPr>
      </w:pPr>
      <w:bookmarkStart w:id="50" w:name="auto_fouce_21"/>
      <w:r>
        <w:rPr>
          <w:rFonts w:hint="eastAsia" w:ascii="宋体" w:hAnsi="宋体" w:eastAsia="宋体" w:cs="宋体"/>
          <w:sz w:val="24"/>
          <w14:ligatures w14:val="none"/>
        </w:rPr>
        <w:t>本文件必须在收到之后的20个工作日内由公司法定代</w:t>
      </w:r>
      <w:bookmarkStart w:id="51" w:name="auto_fouce_19"/>
      <w:r>
        <w:rPr>
          <w:rFonts w:hint="eastAsia" w:ascii="宋体" w:hAnsi="宋体" w:eastAsia="宋体" w:cs="宋体"/>
          <w:sz w:val="24"/>
          <w14:ligatures w14:val="none"/>
        </w:rPr>
        <w:t>表人或授权代表签署及公司盖章后发回广州中大餐饮管理有限</w:t>
      </w:r>
      <w:bookmarkEnd w:id="51"/>
      <w:r>
        <w:rPr>
          <w:rFonts w:hint="eastAsia" w:ascii="宋体" w:hAnsi="宋体" w:eastAsia="宋体" w:cs="宋体"/>
          <w:sz w:val="24"/>
          <w14:ligatures w14:val="none"/>
        </w:rPr>
        <w:t>公司采购部。</w:t>
      </w:r>
      <w:bookmarkEnd w:id="50"/>
    </w:p>
    <w:p w14:paraId="46B9AF8F">
      <w:pPr>
        <w:tabs>
          <w:tab w:val="right" w:pos="9923"/>
        </w:tabs>
        <w:autoSpaceDE w:val="0"/>
        <w:autoSpaceDN w:val="0"/>
        <w:adjustRightInd w:val="0"/>
        <w:spacing w:after="0" w:line="240" w:lineRule="auto"/>
        <w:ind w:firstLine="562" w:firstLineChars="200"/>
        <w:jc w:val="both"/>
        <w:rPr>
          <w:rFonts w:hint="eastAsia" w:ascii="宋体" w:hAnsi="宋体" w:eastAsia="宋体" w:cs="宋体"/>
          <w:b/>
          <w:bCs/>
          <w:sz w:val="28"/>
          <w:szCs w:val="28"/>
          <w:lang w:eastAsia="de-DE"/>
          <w14:ligatures w14:val="none"/>
        </w:rPr>
      </w:pPr>
      <w:r>
        <w:rPr>
          <w:rFonts w:hint="eastAsia" w:ascii="宋体" w:hAnsi="宋体" w:eastAsia="宋体" w:cs="宋体"/>
          <w:b/>
          <w:bCs/>
          <w:sz w:val="28"/>
          <w:szCs w:val="28"/>
          <w:lang w:eastAsia="de-DE"/>
          <w14:ligatures w14:val="none"/>
        </w:rPr>
        <w:tab/>
      </w:r>
    </w:p>
    <w:p w14:paraId="5C90DED5">
      <w:pPr>
        <w:autoSpaceDE w:val="0"/>
        <w:autoSpaceDN w:val="0"/>
        <w:adjustRightInd w:val="0"/>
        <w:spacing w:after="0" w:line="240" w:lineRule="auto"/>
        <w:ind w:firstLine="400" w:firstLineChars="200"/>
        <w:jc w:val="both"/>
        <w:rPr>
          <w:rFonts w:hint="eastAsia" w:ascii="宋体" w:hAnsi="宋体" w:eastAsia="宋体" w:cs="宋体"/>
          <w:sz w:val="20"/>
          <w:szCs w:val="20"/>
          <w14:ligatures w14:val="none"/>
        </w:rPr>
      </w:pPr>
    </w:p>
    <w:p w14:paraId="3CC18212">
      <w:pPr>
        <w:spacing w:before="156" w:beforeLines="50" w:after="0" w:line="276" w:lineRule="auto"/>
        <w:ind w:right="210" w:firstLine="420" w:firstLineChars="200"/>
        <w:rPr>
          <w:rFonts w:hint="eastAsia" w:ascii="宋体" w:hAnsi="宋体" w:eastAsia="宋体" w:cs="宋体"/>
          <w:sz w:val="21"/>
          <w14:ligatures w14:val="none"/>
        </w:rPr>
        <w:sectPr>
          <w:pgSz w:w="11906" w:h="16838"/>
          <w:pgMar w:top="1418" w:right="1152" w:bottom="1418" w:left="1152" w:header="851" w:footer="992" w:gutter="0"/>
          <w:cols w:space="720" w:num="1"/>
          <w:docGrid w:type="lines" w:linePitch="312" w:charSpace="0"/>
        </w:sectPr>
      </w:pPr>
    </w:p>
    <w:p w14:paraId="66A7CD92">
      <w:pPr>
        <w:tabs>
          <w:tab w:val="right" w:pos="9923"/>
        </w:tabs>
        <w:autoSpaceDE w:val="0"/>
        <w:autoSpaceDN w:val="0"/>
        <w:adjustRightInd w:val="0"/>
        <w:spacing w:after="0" w:line="240" w:lineRule="auto"/>
        <w:ind w:firstLine="480" w:firstLineChars="200"/>
        <w:jc w:val="both"/>
        <w:rPr>
          <w:rFonts w:hint="eastAsia" w:ascii="宋体" w:hAnsi="宋体" w:eastAsia="宋体" w:cs="宋体"/>
          <w:b/>
          <w:sz w:val="28"/>
          <w:szCs w:val="28"/>
          <w14:ligatures w14:val="none"/>
        </w:rPr>
      </w:pPr>
      <w:r>
        <w:rPr>
          <w:rFonts w:hint="eastAsia" w:ascii="宋体" w:hAnsi="宋体" w:eastAsia="宋体" w:cs="宋体"/>
          <w:sz w:val="24"/>
          <w14:ligatures w14:val="none"/>
        </w:rPr>
        <w:t>附件4</w:t>
      </w:r>
    </w:p>
    <w:p w14:paraId="4E863C7F">
      <w:pPr>
        <w:spacing w:after="0" w:line="240" w:lineRule="auto"/>
        <w:ind w:right="-207" w:rightChars="-94" w:firstLine="883" w:firstLineChars="200"/>
        <w:jc w:val="center"/>
        <w:rPr>
          <w:rFonts w:hint="eastAsia" w:ascii="宋体" w:hAnsi="宋体" w:eastAsia="宋体" w:cs="宋体"/>
          <w:b/>
          <w:sz w:val="44"/>
          <w:szCs w:val="44"/>
          <w14:ligatures w14:val="none"/>
        </w:rPr>
      </w:pPr>
      <w:r>
        <w:rPr>
          <w:rFonts w:hint="eastAsia" w:ascii="宋体" w:hAnsi="宋体" w:eastAsia="宋体" w:cs="宋体"/>
          <w:b/>
          <w:sz w:val="44"/>
          <w:szCs w:val="44"/>
          <w14:ligatures w14:val="none"/>
        </w:rPr>
        <w:t>廉洁承诺书</w:t>
      </w:r>
    </w:p>
    <w:p w14:paraId="0ECBA18A">
      <w:pPr>
        <w:spacing w:after="0" w:line="240" w:lineRule="auto"/>
        <w:ind w:left="-444" w:leftChars="-202" w:right="-207" w:rightChars="-94" w:firstLine="560" w:firstLineChars="200"/>
        <w:rPr>
          <w:rFonts w:hint="eastAsia" w:ascii="宋体" w:hAnsi="宋体" w:eastAsia="宋体" w:cs="宋体"/>
          <w:sz w:val="28"/>
          <w:szCs w:val="28"/>
          <w14:ligatures w14:val="none"/>
        </w:rPr>
      </w:pPr>
    </w:p>
    <w:p w14:paraId="3500F6F6">
      <w:pPr>
        <w:spacing w:after="0" w:line="240" w:lineRule="auto"/>
        <w:ind w:right="-207" w:rightChars="-94" w:firstLine="560" w:firstLineChars="200"/>
        <w:rPr>
          <w:rFonts w:hint="eastAsia" w:ascii="宋体" w:hAnsi="宋体" w:eastAsia="宋体" w:cs="宋体"/>
          <w:sz w:val="28"/>
          <w:szCs w:val="28"/>
          <w14:ligatures w14:val="none"/>
        </w:rPr>
      </w:pPr>
      <w:r>
        <w:rPr>
          <w:rFonts w:hint="eastAsia" w:ascii="宋体" w:hAnsi="宋体" w:eastAsia="宋体" w:cs="宋体"/>
          <w:bCs/>
          <w:sz w:val="28"/>
          <w:szCs w:val="28"/>
          <w14:ligatures w14:val="none"/>
        </w:rPr>
        <w:t>广州中大餐饮管理有限公司：</w:t>
      </w:r>
    </w:p>
    <w:p w14:paraId="010F0E51">
      <w:pPr>
        <w:spacing w:after="0" w:line="240" w:lineRule="auto"/>
        <w:ind w:right="-207" w:rightChars="-94" w:firstLine="560" w:firstLineChars="200"/>
        <w:jc w:val="both"/>
        <w:rPr>
          <w:rFonts w:hint="eastAsia" w:ascii="宋体" w:hAnsi="宋体" w:eastAsia="宋体" w:cs="宋体"/>
          <w:sz w:val="28"/>
          <w:szCs w:val="28"/>
          <w14:ligatures w14:val="none"/>
        </w:rPr>
      </w:pPr>
      <w:r>
        <w:rPr>
          <w:rFonts w:hint="eastAsia" w:ascii="宋体" w:hAnsi="宋体" w:eastAsia="宋体" w:cs="宋体"/>
          <w:sz w:val="28"/>
          <w:szCs w:val="28"/>
          <w14:ligatures w14:val="none"/>
        </w:rPr>
        <w:t>为确保采购活动的公开、公正、公平，防止采购中发生行受贿、侵占、合同诈骗等违纪违法行为，降低采购成本，保护采购人员(防止其违法犯罪)，我方特向你方做出承诺如下 :</w:t>
      </w:r>
    </w:p>
    <w:p w14:paraId="39A4EFD3">
      <w:pPr>
        <w:spacing w:after="0" w:line="240" w:lineRule="auto"/>
        <w:ind w:firstLine="560" w:firstLineChars="200"/>
        <w:jc w:val="both"/>
        <w:rPr>
          <w:rFonts w:hint="eastAsia" w:ascii="宋体" w:hAnsi="宋体" w:eastAsia="宋体" w:cs="宋体"/>
          <w:sz w:val="28"/>
          <w:szCs w:val="28"/>
          <w14:ligatures w14:val="none"/>
        </w:rPr>
      </w:pPr>
      <w:r>
        <w:rPr>
          <w:rFonts w:hint="eastAsia" w:ascii="宋体" w:hAnsi="宋体" w:eastAsia="宋体" w:cs="宋体"/>
          <w:sz w:val="28"/>
          <w:szCs w:val="28"/>
          <w14:ligatures w14:val="none"/>
        </w:rPr>
        <w:t>1、在任何采购环节，不以任何理由向你方人员行贿，包括但不限于送钱、物、购物卡、有价证券、免费提供劳务、支付应由你方个人支付的各种费用和其他各种变相行贿行为；</w:t>
      </w:r>
    </w:p>
    <w:p w14:paraId="0791468D">
      <w:pPr>
        <w:spacing w:after="0" w:line="240" w:lineRule="auto"/>
        <w:ind w:firstLine="560" w:firstLineChars="200"/>
        <w:jc w:val="both"/>
        <w:rPr>
          <w:rFonts w:hint="eastAsia" w:ascii="宋体" w:hAnsi="宋体" w:eastAsia="宋体" w:cs="宋体"/>
          <w:sz w:val="28"/>
          <w:szCs w:val="28"/>
          <w14:ligatures w14:val="none"/>
        </w:rPr>
      </w:pPr>
      <w:r>
        <w:rPr>
          <w:rFonts w:hint="eastAsia" w:ascii="宋体" w:hAnsi="宋体" w:eastAsia="宋体" w:cs="宋体"/>
          <w:sz w:val="28"/>
          <w:szCs w:val="28"/>
          <w14:ligatures w14:val="none"/>
        </w:rPr>
        <w:t>2、不与你方人员及其亲属从事本采购项目相关的任何物资买卖、提供劳务及中介活动等任何交易交往行为，未经你方允许不转包、分包项目；</w:t>
      </w:r>
    </w:p>
    <w:p w14:paraId="6B4C4671">
      <w:pPr>
        <w:spacing w:after="0" w:line="240" w:lineRule="auto"/>
        <w:ind w:firstLine="560" w:firstLineChars="200"/>
        <w:jc w:val="both"/>
        <w:rPr>
          <w:rFonts w:hint="eastAsia" w:ascii="宋体" w:hAnsi="宋体" w:eastAsia="宋体" w:cs="宋体"/>
          <w:sz w:val="28"/>
          <w:szCs w:val="28"/>
          <w14:ligatures w14:val="none"/>
        </w:rPr>
      </w:pPr>
      <w:r>
        <w:rPr>
          <w:rFonts w:hint="eastAsia" w:ascii="宋体" w:hAnsi="宋体" w:eastAsia="宋体" w:cs="宋体"/>
          <w:sz w:val="28"/>
          <w:szCs w:val="28"/>
          <w14:ligatures w14:val="none"/>
        </w:rPr>
        <w:t>3、不伙同他人串标、围标、虚假投标、恶意低价或者非法排挤其他竞标人参与公平竞争损害你方合法利益；</w:t>
      </w:r>
    </w:p>
    <w:p w14:paraId="6837583B">
      <w:pPr>
        <w:spacing w:after="0" w:line="240" w:lineRule="auto"/>
        <w:ind w:firstLine="560" w:firstLineChars="200"/>
        <w:jc w:val="both"/>
        <w:rPr>
          <w:rFonts w:hint="eastAsia" w:ascii="宋体" w:hAnsi="宋体" w:eastAsia="宋体" w:cs="宋体"/>
          <w:sz w:val="28"/>
          <w:szCs w:val="28"/>
          <w14:ligatures w14:val="none"/>
        </w:rPr>
      </w:pPr>
      <w:r>
        <w:rPr>
          <w:rFonts w:hint="eastAsia" w:ascii="宋体" w:hAnsi="宋体" w:eastAsia="宋体" w:cs="宋体"/>
          <w:sz w:val="28"/>
          <w:szCs w:val="28"/>
          <w14:ligatures w14:val="none"/>
        </w:rPr>
        <w:t>4、诚信正当交易，不掺杂掺假、以假充真、以次充好、以不合格冒充合格；</w:t>
      </w:r>
    </w:p>
    <w:p w14:paraId="2E40C0F4">
      <w:pPr>
        <w:spacing w:after="0" w:line="240" w:lineRule="auto"/>
        <w:ind w:firstLine="560" w:firstLineChars="200"/>
        <w:jc w:val="both"/>
        <w:rPr>
          <w:rFonts w:hint="eastAsia" w:ascii="宋体" w:hAnsi="宋体" w:eastAsia="宋体" w:cs="宋体"/>
          <w:sz w:val="28"/>
          <w:szCs w:val="28"/>
          <w14:ligatures w14:val="none"/>
        </w:rPr>
      </w:pPr>
      <w:r>
        <w:rPr>
          <w:rFonts w:hint="eastAsia" w:ascii="宋体" w:hAnsi="宋体" w:eastAsia="宋体" w:cs="宋体"/>
          <w:sz w:val="28"/>
          <w:szCs w:val="28"/>
          <w14:ligatures w14:val="none"/>
        </w:rPr>
        <w:t xml:space="preserve">5、你方人员如提出吃、拿、卡、要等违背本承诺书的要求或有其他不正当行为，我方保证及时主动向你方及你方主管单位的纪检部门举报，联系电话：020-84115282；  </w:t>
      </w:r>
    </w:p>
    <w:p w14:paraId="05370B3D">
      <w:pPr>
        <w:spacing w:after="0" w:line="240" w:lineRule="auto"/>
        <w:ind w:firstLine="560" w:firstLineChars="200"/>
        <w:jc w:val="both"/>
        <w:rPr>
          <w:rFonts w:hint="eastAsia" w:ascii="宋体" w:hAnsi="宋体" w:eastAsia="宋体" w:cs="宋体"/>
          <w:sz w:val="28"/>
          <w:szCs w:val="28"/>
          <w14:ligatures w14:val="none"/>
        </w:rPr>
      </w:pPr>
      <w:r>
        <w:rPr>
          <w:rFonts w:hint="eastAsia" w:ascii="宋体" w:hAnsi="宋体" w:eastAsia="宋体" w:cs="宋体"/>
          <w:sz w:val="28"/>
          <w:szCs w:val="28"/>
          <w14:ligatures w14:val="none"/>
        </w:rPr>
        <w:t>6、我方已经知晓并支持你方关于廉洁从业方面的相关规定，将无条件配合你方关于规范采购行为的调查、检查、调研等工作，及时完整提供相关资料和客观信息。</w:t>
      </w:r>
    </w:p>
    <w:p w14:paraId="2BB6D849">
      <w:pPr>
        <w:spacing w:after="0" w:line="240" w:lineRule="auto"/>
        <w:ind w:firstLine="560" w:firstLineChars="200"/>
        <w:jc w:val="both"/>
        <w:rPr>
          <w:rFonts w:hint="eastAsia" w:ascii="宋体" w:hAnsi="宋体" w:eastAsia="宋体" w:cs="宋体"/>
          <w:sz w:val="28"/>
          <w:szCs w:val="28"/>
          <w14:ligatures w14:val="none"/>
        </w:rPr>
      </w:pPr>
      <w:r>
        <w:rPr>
          <w:rFonts w:hint="eastAsia" w:ascii="宋体" w:hAnsi="宋体" w:eastAsia="宋体" w:cs="宋体"/>
          <w:sz w:val="28"/>
          <w:szCs w:val="28"/>
          <w14:ligatures w14:val="none"/>
        </w:rPr>
        <w:t>我方将严格遵守本承诺，如有违反，你方可单方面取消本次合作项目(如已中选，则中选无效，已签订合同的，中止或终止执行)，我方自愿向你方支付不低于行贿金额10倍以上的违约金，并承担因取消或者中断合同给你方造成的经济损失。同时三年内不参加你方组织的所有采购招标活动。</w:t>
      </w:r>
    </w:p>
    <w:p w14:paraId="20943A0B">
      <w:pPr>
        <w:spacing w:after="0" w:line="240" w:lineRule="auto"/>
        <w:ind w:firstLine="560" w:firstLineChars="200"/>
        <w:jc w:val="both"/>
        <w:rPr>
          <w:rFonts w:hint="eastAsia" w:ascii="宋体" w:hAnsi="宋体" w:eastAsia="宋体" w:cs="宋体"/>
          <w:sz w:val="28"/>
          <w:szCs w:val="28"/>
          <w14:ligatures w14:val="none"/>
        </w:rPr>
      </w:pPr>
    </w:p>
    <w:p w14:paraId="71838372">
      <w:pPr>
        <w:spacing w:after="0" w:line="240" w:lineRule="auto"/>
        <w:ind w:firstLine="560" w:firstLineChars="200"/>
        <w:jc w:val="both"/>
        <w:rPr>
          <w:rFonts w:hint="eastAsia" w:ascii="宋体" w:hAnsi="宋体" w:eastAsia="宋体" w:cs="宋体"/>
          <w:sz w:val="28"/>
          <w:szCs w:val="28"/>
          <w14:ligatures w14:val="none"/>
        </w:rPr>
      </w:pPr>
    </w:p>
    <w:p w14:paraId="5D56A93E">
      <w:pPr>
        <w:spacing w:after="0" w:line="240" w:lineRule="auto"/>
        <w:ind w:firstLine="560" w:firstLineChars="200"/>
        <w:jc w:val="both"/>
        <w:rPr>
          <w:rFonts w:hint="eastAsia" w:ascii="宋体" w:hAnsi="宋体" w:eastAsia="宋体" w:cs="宋体"/>
          <w:sz w:val="28"/>
          <w:szCs w:val="28"/>
          <w14:ligatures w14:val="none"/>
        </w:rPr>
      </w:pPr>
    </w:p>
    <w:p w14:paraId="60A7A10A">
      <w:pPr>
        <w:spacing w:after="0" w:line="240" w:lineRule="auto"/>
        <w:ind w:firstLine="560" w:firstLineChars="200"/>
        <w:jc w:val="center"/>
        <w:rPr>
          <w:rFonts w:hint="eastAsia" w:ascii="宋体" w:hAnsi="宋体" w:eastAsia="宋体" w:cs="宋体"/>
          <w:sz w:val="21"/>
          <w14:ligatures w14:val="none"/>
        </w:rPr>
      </w:pPr>
      <w:r>
        <w:rPr>
          <w:rFonts w:hint="eastAsia" w:ascii="宋体" w:hAnsi="宋体" w:eastAsia="宋体" w:cs="宋体"/>
          <w:sz w:val="28"/>
          <w:szCs w:val="28"/>
          <w14:ligatures w14:val="none"/>
        </w:rPr>
        <w:t>承 诺 方（盖章） :</w:t>
      </w:r>
    </w:p>
    <w:p w14:paraId="19D9DD98">
      <w:pPr>
        <w:spacing w:after="0" w:line="240" w:lineRule="auto"/>
        <w:ind w:firstLine="560" w:firstLineChars="200"/>
        <w:jc w:val="both"/>
        <w:rPr>
          <w:rFonts w:hint="eastAsia" w:ascii="宋体" w:hAnsi="宋体" w:eastAsia="宋体" w:cs="宋体"/>
          <w:sz w:val="28"/>
          <w:szCs w:val="28"/>
          <w14:ligatures w14:val="none"/>
        </w:rPr>
      </w:pPr>
      <w:r>
        <w:rPr>
          <w:rFonts w:hint="eastAsia" w:ascii="宋体" w:hAnsi="宋体" w:eastAsia="宋体" w:cs="宋体"/>
          <w:sz w:val="28"/>
          <w:szCs w:val="28"/>
          <w14:ligatures w14:val="none"/>
        </w:rPr>
        <w:t xml:space="preserve">承诺方代表签名：  </w:t>
      </w:r>
    </w:p>
    <w:p w14:paraId="5616C558">
      <w:pPr>
        <w:spacing w:after="0" w:line="240" w:lineRule="auto"/>
        <w:ind w:firstLine="560" w:firstLineChars="200"/>
        <w:jc w:val="both"/>
        <w:rPr>
          <w:rFonts w:hint="eastAsia" w:ascii="宋体" w:hAnsi="宋体" w:eastAsia="宋体" w:cs="宋体"/>
          <w:sz w:val="28"/>
          <w:szCs w:val="28"/>
          <w14:ligatures w14:val="none"/>
        </w:rPr>
      </w:pPr>
      <w:r>
        <w:rPr>
          <w:rFonts w:hint="eastAsia" w:ascii="宋体" w:hAnsi="宋体" w:eastAsia="宋体" w:cs="宋体"/>
          <w:sz w:val="28"/>
          <w:szCs w:val="28"/>
          <w14:ligatures w14:val="none"/>
        </w:rPr>
        <w:t>承诺日期:      年    月   日</w:t>
      </w:r>
    </w:p>
    <w:p w14:paraId="429D927E">
      <w:pPr>
        <w:spacing w:after="0" w:line="240" w:lineRule="auto"/>
        <w:ind w:firstLine="420" w:firstLineChars="200"/>
        <w:jc w:val="both"/>
        <w:rPr>
          <w:rFonts w:hint="eastAsia" w:ascii="宋体" w:hAnsi="宋体" w:eastAsia="宋体" w:cs="宋体"/>
          <w:sz w:val="21"/>
          <w14:ligatures w14:val="none"/>
        </w:rPr>
      </w:pPr>
      <w:r>
        <w:rPr>
          <w:rFonts w:hint="eastAsia" w:ascii="宋体" w:hAnsi="宋体" w:eastAsia="宋体" w:cs="宋体"/>
          <w:sz w:val="21"/>
          <w14:ligatures w14:val="none"/>
        </w:rPr>
        <w:br w:type="page"/>
      </w:r>
    </w:p>
    <w:p w14:paraId="3209B73A">
      <w:pPr>
        <w:tabs>
          <w:tab w:val="right" w:pos="9923"/>
        </w:tabs>
        <w:autoSpaceDE w:val="0"/>
        <w:autoSpaceDN w:val="0"/>
        <w:adjustRightInd w:val="0"/>
        <w:spacing w:after="0" w:line="240" w:lineRule="auto"/>
        <w:ind w:firstLine="480" w:firstLineChars="200"/>
        <w:jc w:val="both"/>
        <w:rPr>
          <w:rFonts w:hint="eastAsia" w:ascii="宋体" w:hAnsi="宋体" w:eastAsia="宋体" w:cs="宋体"/>
          <w:b/>
          <w:sz w:val="28"/>
          <w:szCs w:val="28"/>
          <w14:ligatures w14:val="none"/>
        </w:rPr>
      </w:pPr>
      <w:r>
        <w:rPr>
          <w:rFonts w:hint="eastAsia" w:ascii="宋体" w:hAnsi="宋体" w:eastAsia="宋体" w:cs="宋体"/>
          <w:sz w:val="24"/>
          <w14:ligatures w14:val="none"/>
        </w:rPr>
        <w:t>附件5</w:t>
      </w:r>
    </w:p>
    <w:p w14:paraId="39C7028A">
      <w:pPr>
        <w:spacing w:after="0" w:line="360" w:lineRule="auto"/>
        <w:ind w:firstLine="640" w:firstLineChars="200"/>
        <w:jc w:val="center"/>
        <w:rPr>
          <w:rFonts w:hint="eastAsia" w:ascii="宋体" w:hAnsi="宋体" w:eastAsia="宋体" w:cs="宋体"/>
          <w:sz w:val="32"/>
          <w:szCs w:val="32"/>
          <w14:ligatures w14:val="none"/>
        </w:rPr>
      </w:pPr>
      <w:r>
        <w:rPr>
          <w:rFonts w:hint="eastAsia" w:ascii="宋体" w:hAnsi="宋体" w:eastAsia="宋体" w:cs="宋体"/>
          <w:sz w:val="32"/>
          <w:szCs w:val="32"/>
          <w14:ligatures w14:val="none"/>
        </w:rPr>
        <w:t>供应商保密确认函</w:t>
      </w:r>
    </w:p>
    <w:p w14:paraId="22B93323">
      <w:pPr>
        <w:spacing w:after="0" w:line="360" w:lineRule="auto"/>
        <w:ind w:firstLine="480" w:firstLineChars="200"/>
        <w:jc w:val="both"/>
        <w:rPr>
          <w:rFonts w:hint="eastAsia" w:ascii="宋体" w:hAnsi="宋体" w:eastAsia="宋体" w:cs="宋体"/>
          <w:sz w:val="24"/>
          <w14:ligatures w14:val="none"/>
        </w:rPr>
      </w:pPr>
    </w:p>
    <w:p w14:paraId="35EB98BD">
      <w:pPr>
        <w:spacing w:after="0" w:line="360" w:lineRule="auto"/>
        <w:ind w:firstLine="480" w:firstLineChars="200"/>
        <w:jc w:val="both"/>
        <w:rPr>
          <w:rFonts w:hint="eastAsia" w:ascii="宋体" w:hAnsi="宋体" w:eastAsia="宋体" w:cs="宋体"/>
          <w:sz w:val="24"/>
          <w14:ligatures w14:val="none"/>
        </w:rPr>
      </w:pPr>
      <w:r>
        <w:rPr>
          <w:rFonts w:hint="eastAsia" w:ascii="宋体" w:hAnsi="宋体" w:eastAsia="宋体" w:cs="宋体"/>
          <w:sz w:val="24"/>
          <w14:ligatures w14:val="none"/>
        </w:rPr>
        <w:t>致：广州中大餐饮管理有限公司（以下简称“贵司”）</w:t>
      </w:r>
    </w:p>
    <w:p w14:paraId="2A4F4807">
      <w:pPr>
        <w:spacing w:after="0" w:line="360" w:lineRule="auto"/>
        <w:ind w:firstLine="480" w:firstLineChars="200"/>
        <w:jc w:val="both"/>
        <w:rPr>
          <w:rFonts w:hint="eastAsia" w:ascii="宋体" w:hAnsi="宋体" w:eastAsia="宋体" w:cs="宋体"/>
          <w:sz w:val="24"/>
          <w14:ligatures w14:val="none"/>
        </w:rPr>
      </w:pPr>
    </w:p>
    <w:p w14:paraId="3E8B0551">
      <w:pPr>
        <w:spacing w:after="0" w:line="360" w:lineRule="auto"/>
        <w:ind w:firstLine="480" w:firstLineChars="200"/>
        <w:jc w:val="both"/>
        <w:rPr>
          <w:rFonts w:hint="eastAsia" w:ascii="宋体" w:hAnsi="宋体" w:eastAsia="宋体" w:cs="宋体"/>
          <w:sz w:val="24"/>
          <w14:ligatures w14:val="none"/>
        </w:rPr>
      </w:pPr>
      <w:r>
        <w:rPr>
          <w:rFonts w:hint="eastAsia" w:ascii="宋体" w:hAnsi="宋体" w:eastAsia="宋体" w:cs="宋体"/>
          <w:sz w:val="24"/>
          <w14:ligatures w14:val="none"/>
        </w:rPr>
        <w:t>本公司，即下方签署方，作为贵司的供应商，为开启和管理与贵司之间的采购和供应关系（包括履行贵司签发的任何订单以及与之有关的一切讨论、询问、技术可行性测试和评估）之目的（以下简称“指定目的”），已从或将会从贵司知悉、获取或接触相关的保密信息。</w:t>
      </w:r>
    </w:p>
    <w:p w14:paraId="7657C6EB">
      <w:pPr>
        <w:spacing w:after="0" w:line="360" w:lineRule="auto"/>
        <w:ind w:firstLine="480" w:firstLineChars="200"/>
        <w:jc w:val="both"/>
        <w:rPr>
          <w:rFonts w:hint="eastAsia" w:ascii="宋体" w:hAnsi="宋体" w:eastAsia="宋体" w:cs="宋体"/>
          <w:sz w:val="24"/>
          <w14:ligatures w14:val="none"/>
        </w:rPr>
      </w:pPr>
    </w:p>
    <w:p w14:paraId="2077250D">
      <w:pPr>
        <w:spacing w:after="0" w:line="360" w:lineRule="auto"/>
        <w:ind w:firstLine="480" w:firstLineChars="200"/>
        <w:jc w:val="both"/>
        <w:rPr>
          <w:rFonts w:hint="eastAsia" w:ascii="宋体" w:hAnsi="宋体" w:eastAsia="宋体" w:cs="宋体"/>
          <w:sz w:val="24"/>
          <w14:ligatures w14:val="none"/>
        </w:rPr>
      </w:pPr>
      <w:r>
        <w:rPr>
          <w:rFonts w:hint="eastAsia" w:ascii="宋体" w:hAnsi="宋体" w:eastAsia="宋体" w:cs="宋体"/>
          <w:sz w:val="24"/>
          <w14:ligatures w14:val="none"/>
        </w:rPr>
        <w:t>为保护贵司的合法权益，本公司自愿并不可撤销地确认及同意如下：</w:t>
      </w:r>
    </w:p>
    <w:p w14:paraId="15D52AFB">
      <w:pPr>
        <w:spacing w:after="0" w:line="360" w:lineRule="auto"/>
        <w:ind w:firstLine="480" w:firstLineChars="200"/>
        <w:jc w:val="both"/>
        <w:rPr>
          <w:rFonts w:hint="eastAsia" w:ascii="宋体" w:hAnsi="宋体" w:eastAsia="宋体" w:cs="宋体"/>
          <w:sz w:val="24"/>
          <w14:ligatures w14:val="none"/>
        </w:rPr>
      </w:pPr>
    </w:p>
    <w:p w14:paraId="2DDEAF0F">
      <w:pPr>
        <w:spacing w:after="0" w:line="360" w:lineRule="auto"/>
        <w:ind w:firstLine="480" w:firstLineChars="200"/>
        <w:jc w:val="both"/>
        <w:rPr>
          <w:rFonts w:hint="eastAsia" w:ascii="宋体" w:hAnsi="宋体" w:eastAsia="宋体" w:cs="宋体"/>
          <w:sz w:val="24"/>
          <w14:ligatures w14:val="none"/>
        </w:rPr>
      </w:pPr>
      <w:r>
        <w:rPr>
          <w:rFonts w:hint="eastAsia" w:ascii="宋体" w:hAnsi="宋体" w:eastAsia="宋体" w:cs="宋体"/>
          <w:sz w:val="24"/>
          <w14:ligatures w14:val="none"/>
        </w:rPr>
        <w:t>一、保密信息的定义</w:t>
      </w:r>
    </w:p>
    <w:p w14:paraId="52EE9E0D">
      <w:pPr>
        <w:spacing w:after="0" w:line="360" w:lineRule="auto"/>
        <w:ind w:firstLine="480" w:firstLineChars="200"/>
        <w:jc w:val="both"/>
        <w:rPr>
          <w:rFonts w:hint="eastAsia" w:ascii="宋体" w:hAnsi="宋体" w:eastAsia="宋体" w:cs="宋体"/>
          <w:sz w:val="24"/>
          <w14:ligatures w14:val="none"/>
        </w:rPr>
      </w:pPr>
      <w:r>
        <w:rPr>
          <w:rFonts w:hint="eastAsia" w:ascii="宋体" w:hAnsi="宋体" w:eastAsia="宋体" w:cs="宋体"/>
          <w:sz w:val="24"/>
          <w14:ligatures w14:val="none"/>
        </w:rPr>
        <w:t>本确认函所称“保密信息”，是指本公司为前述“指定目的”已从或将会从贵司收到的一切规格、资料、样品、流程及其他技术信息、业务信息或商业信息以及产生于前述资料的任何信息。此等信息无论是以口头、书面、电子、图像或其他任何形式披露，无论是否被标记为“保密”，在披露时所处的环境下可被合理理解为具有保密性质的，均受本确认函约束。</w:t>
      </w:r>
    </w:p>
    <w:p w14:paraId="27323D21">
      <w:pPr>
        <w:spacing w:after="0" w:line="360" w:lineRule="auto"/>
        <w:ind w:firstLine="480" w:firstLineChars="200"/>
        <w:jc w:val="both"/>
        <w:rPr>
          <w:rFonts w:hint="eastAsia" w:ascii="宋体" w:hAnsi="宋体" w:eastAsia="宋体" w:cs="宋体"/>
          <w:sz w:val="24"/>
          <w14:ligatures w14:val="none"/>
        </w:rPr>
      </w:pPr>
    </w:p>
    <w:p w14:paraId="4D5FDDC0">
      <w:pPr>
        <w:spacing w:after="0" w:line="360" w:lineRule="auto"/>
        <w:ind w:firstLine="480" w:firstLineChars="200"/>
        <w:jc w:val="both"/>
        <w:rPr>
          <w:rFonts w:hint="eastAsia" w:ascii="宋体" w:hAnsi="宋体" w:eastAsia="宋体" w:cs="宋体"/>
          <w:sz w:val="24"/>
          <w14:ligatures w14:val="none"/>
        </w:rPr>
      </w:pPr>
      <w:r>
        <w:rPr>
          <w:rFonts w:hint="eastAsia" w:ascii="宋体" w:hAnsi="宋体" w:eastAsia="宋体" w:cs="宋体"/>
          <w:sz w:val="24"/>
          <w14:ligatures w14:val="none"/>
        </w:rPr>
        <w:t>二、保密义务</w:t>
      </w:r>
    </w:p>
    <w:p w14:paraId="71CAE284">
      <w:pPr>
        <w:spacing w:after="0" w:line="360" w:lineRule="auto"/>
        <w:ind w:firstLine="480" w:firstLineChars="200"/>
        <w:jc w:val="both"/>
        <w:rPr>
          <w:rFonts w:hint="eastAsia" w:ascii="宋体" w:hAnsi="宋体" w:eastAsia="宋体" w:cs="宋体"/>
          <w:sz w:val="24"/>
          <w14:ligatures w14:val="none"/>
        </w:rPr>
      </w:pPr>
      <w:r>
        <w:rPr>
          <w:rFonts w:hint="eastAsia" w:ascii="宋体" w:hAnsi="宋体" w:eastAsia="宋体" w:cs="宋体"/>
          <w:sz w:val="24"/>
          <w14:ligatures w14:val="none"/>
        </w:rPr>
        <w:t>1.  使用限制：本公司仅可将保密信息用于“指定目的”，不得用于任何其他用途，包括但不限于禁止将保密信息用于自身产品研发、商业推广、技术反向工程等行为。</w:t>
      </w:r>
    </w:p>
    <w:p w14:paraId="0F60E502">
      <w:pPr>
        <w:spacing w:after="0" w:line="360" w:lineRule="auto"/>
        <w:ind w:firstLine="480" w:firstLineChars="200"/>
        <w:jc w:val="both"/>
        <w:rPr>
          <w:rFonts w:hint="eastAsia" w:ascii="宋体" w:hAnsi="宋体" w:eastAsia="宋体" w:cs="宋体"/>
          <w:sz w:val="24"/>
          <w14:ligatures w14:val="none"/>
        </w:rPr>
      </w:pPr>
      <w:r>
        <w:rPr>
          <w:rFonts w:hint="eastAsia" w:ascii="宋体" w:hAnsi="宋体" w:eastAsia="宋体" w:cs="宋体"/>
          <w:sz w:val="24"/>
          <w14:ligatures w14:val="none"/>
        </w:rPr>
        <w:t>2.  披露限制：未经贵司事先书面同意，本公司不得向任何第三方（包括但不限于非直接参与本项目的关联公司、个人或实体）披露任何保密信息。</w:t>
      </w:r>
    </w:p>
    <w:p w14:paraId="133E255E">
      <w:pPr>
        <w:spacing w:after="0" w:line="360" w:lineRule="auto"/>
        <w:ind w:firstLine="480" w:firstLineChars="200"/>
        <w:jc w:val="both"/>
        <w:rPr>
          <w:rFonts w:hint="eastAsia" w:ascii="宋体" w:hAnsi="宋体" w:eastAsia="宋体" w:cs="宋体"/>
          <w:sz w:val="24"/>
          <w14:ligatures w14:val="none"/>
        </w:rPr>
      </w:pPr>
      <w:r>
        <w:rPr>
          <w:rFonts w:hint="eastAsia" w:ascii="宋体" w:hAnsi="宋体" w:eastAsia="宋体" w:cs="宋体"/>
          <w:sz w:val="24"/>
          <w14:ligatures w14:val="none"/>
        </w:rPr>
        <w:t>3.  内部管控：本公司仅可在为达成“指定目的”而必须知悉的本公司员工及关联公司员工范围内传播保密信息，并确保该等人员受到不低于本确认函要求的保密义务的约束。本公司应对其员工、顾问及关联公司的行为承担全部责任。</w:t>
      </w:r>
    </w:p>
    <w:p w14:paraId="522C3DFF">
      <w:pPr>
        <w:spacing w:after="0" w:line="360" w:lineRule="auto"/>
        <w:ind w:firstLine="480" w:firstLineChars="200"/>
        <w:jc w:val="both"/>
        <w:rPr>
          <w:rFonts w:hint="eastAsia" w:ascii="宋体" w:hAnsi="宋体" w:eastAsia="宋体" w:cs="宋体"/>
          <w:sz w:val="24"/>
          <w14:ligatures w14:val="none"/>
        </w:rPr>
      </w:pPr>
      <w:r>
        <w:rPr>
          <w:rFonts w:hint="eastAsia" w:ascii="宋体" w:hAnsi="宋体" w:eastAsia="宋体" w:cs="宋体"/>
          <w:sz w:val="24"/>
          <w14:ligatures w14:val="none"/>
        </w:rPr>
        <w:t>4.  关系保密：本公司同意对与贵司之间潜在的或现有的商业关系予以保密，未经贵司事先书面批准，不向任何第三方披露该等关系，且即便获得批准，供应商仍须确保第三方承担与本确认函同等严格的保密义务。本公司进一步承诺，未经贵司事先书面批准，不在任何宣传材料、公开文件、社交媒体中暗示或明示与贵司存在合作关系。</w:t>
      </w:r>
    </w:p>
    <w:p w14:paraId="065337FB">
      <w:pPr>
        <w:spacing w:after="0" w:line="360" w:lineRule="auto"/>
        <w:ind w:firstLine="480" w:firstLineChars="200"/>
        <w:jc w:val="both"/>
        <w:rPr>
          <w:rFonts w:hint="eastAsia" w:ascii="宋体" w:hAnsi="宋体" w:eastAsia="宋体" w:cs="宋体"/>
          <w:sz w:val="24"/>
          <w14:ligatures w14:val="none"/>
        </w:rPr>
      </w:pPr>
      <w:r>
        <w:rPr>
          <w:rFonts w:hint="eastAsia" w:ascii="宋体" w:hAnsi="宋体" w:eastAsia="宋体" w:cs="宋体"/>
          <w:sz w:val="24"/>
          <w14:ligatures w14:val="none"/>
        </w:rPr>
        <w:t>5.  信息归还：根据贵司要求，本公司将立即归还或按贵司指示销毁所有保密信息及其副本。</w:t>
      </w:r>
    </w:p>
    <w:p w14:paraId="41975194">
      <w:pPr>
        <w:spacing w:after="0" w:line="360" w:lineRule="auto"/>
        <w:ind w:firstLine="480" w:firstLineChars="200"/>
        <w:jc w:val="both"/>
        <w:rPr>
          <w:rFonts w:hint="eastAsia" w:ascii="宋体" w:hAnsi="宋体" w:eastAsia="宋体" w:cs="宋体"/>
          <w:sz w:val="24"/>
          <w14:ligatures w14:val="none"/>
        </w:rPr>
      </w:pPr>
      <w:r>
        <w:rPr>
          <w:rFonts w:hint="eastAsia" w:ascii="宋体" w:hAnsi="宋体" w:eastAsia="宋体" w:cs="宋体"/>
          <w:sz w:val="24"/>
          <w14:ligatures w14:val="none"/>
        </w:rPr>
        <w:t>6.  持续义务：本保密义务不因双方合作关系的暂停、中止或终止而失效，在本确认函生效后持续有效，直至该等信息进入公共领域（非因本公司或其人员的过错所致）。</w:t>
      </w:r>
    </w:p>
    <w:p w14:paraId="652179D9">
      <w:pPr>
        <w:spacing w:after="0" w:line="360" w:lineRule="auto"/>
        <w:ind w:firstLine="480" w:firstLineChars="200"/>
        <w:jc w:val="both"/>
        <w:rPr>
          <w:rFonts w:hint="eastAsia" w:ascii="宋体" w:hAnsi="宋体" w:eastAsia="宋体" w:cs="宋体"/>
          <w:sz w:val="24"/>
          <w14:ligatures w14:val="none"/>
        </w:rPr>
      </w:pPr>
    </w:p>
    <w:p w14:paraId="504C66ED">
      <w:pPr>
        <w:spacing w:after="0" w:line="360" w:lineRule="auto"/>
        <w:ind w:firstLine="480" w:firstLineChars="200"/>
        <w:jc w:val="both"/>
        <w:rPr>
          <w:rFonts w:hint="eastAsia" w:ascii="宋体" w:hAnsi="宋体" w:eastAsia="宋体" w:cs="宋体"/>
          <w:sz w:val="24"/>
          <w14:ligatures w14:val="none"/>
        </w:rPr>
      </w:pPr>
      <w:r>
        <w:rPr>
          <w:rFonts w:hint="eastAsia" w:ascii="宋体" w:hAnsi="宋体" w:eastAsia="宋体" w:cs="宋体"/>
          <w:sz w:val="24"/>
          <w14:ligatures w14:val="none"/>
        </w:rPr>
        <w:t>三、违约责任</w:t>
      </w:r>
    </w:p>
    <w:p w14:paraId="1E157DEC">
      <w:pPr>
        <w:spacing w:after="0" w:line="360" w:lineRule="auto"/>
        <w:ind w:firstLine="480" w:firstLineChars="200"/>
        <w:jc w:val="both"/>
        <w:rPr>
          <w:rFonts w:hint="eastAsia" w:ascii="宋体" w:hAnsi="宋体" w:eastAsia="宋体" w:cs="宋体"/>
          <w:sz w:val="24"/>
          <w14:ligatures w14:val="none"/>
        </w:rPr>
      </w:pPr>
      <w:r>
        <w:rPr>
          <w:rFonts w:hint="eastAsia" w:ascii="宋体" w:hAnsi="宋体" w:eastAsia="宋体" w:cs="宋体"/>
          <w:sz w:val="24"/>
          <w14:ligatures w14:val="none"/>
        </w:rPr>
        <w:t>本公司确认，如违反本确认函下的任何义务，愿意承担由此给贵司造成的一切损失（包括但不限于直接经济损失、商誉损失、以及贵司为维权所支付的律师费、调查费、诉讼费等全部合理开支），并接受贵司相应的追责行为。</w:t>
      </w:r>
    </w:p>
    <w:p w14:paraId="398C88D2">
      <w:pPr>
        <w:spacing w:after="0" w:line="360" w:lineRule="auto"/>
        <w:ind w:firstLine="480" w:firstLineChars="200"/>
        <w:jc w:val="both"/>
        <w:rPr>
          <w:rFonts w:hint="eastAsia" w:ascii="宋体" w:hAnsi="宋体" w:eastAsia="宋体" w:cs="宋体"/>
          <w:sz w:val="24"/>
          <w14:ligatures w14:val="none"/>
        </w:rPr>
      </w:pPr>
    </w:p>
    <w:p w14:paraId="5F69C212">
      <w:pPr>
        <w:spacing w:after="0" w:line="360" w:lineRule="auto"/>
        <w:ind w:firstLine="480" w:firstLineChars="200"/>
        <w:jc w:val="both"/>
        <w:rPr>
          <w:rFonts w:hint="eastAsia" w:ascii="宋体" w:hAnsi="宋体" w:eastAsia="宋体" w:cs="宋体"/>
          <w:sz w:val="24"/>
          <w14:ligatures w14:val="none"/>
        </w:rPr>
      </w:pPr>
      <w:r>
        <w:rPr>
          <w:rFonts w:hint="eastAsia" w:ascii="宋体" w:hAnsi="宋体" w:eastAsia="宋体" w:cs="宋体"/>
          <w:sz w:val="24"/>
          <w14:ligatures w14:val="none"/>
        </w:rPr>
        <w:t>四、其他</w:t>
      </w:r>
    </w:p>
    <w:p w14:paraId="774707F3">
      <w:pPr>
        <w:spacing w:after="0" w:line="360" w:lineRule="auto"/>
        <w:ind w:firstLine="480" w:firstLineChars="200"/>
        <w:jc w:val="both"/>
        <w:rPr>
          <w:rFonts w:hint="eastAsia" w:ascii="宋体" w:hAnsi="宋体" w:eastAsia="宋体" w:cs="宋体"/>
          <w:sz w:val="24"/>
          <w14:ligatures w14:val="none"/>
        </w:rPr>
      </w:pPr>
      <w:r>
        <w:rPr>
          <w:rFonts w:hint="eastAsia" w:ascii="宋体" w:hAnsi="宋体" w:eastAsia="宋体" w:cs="宋体"/>
          <w:sz w:val="24"/>
          <w14:ligatures w14:val="none"/>
        </w:rPr>
        <w:t>1.  本确认函旨在补充（而非取代）本公司与贵司之间任何现已有效的保密协议。如存在不一致之处，应以对贵司保密信息保护更为有利的约定为准。</w:t>
      </w:r>
    </w:p>
    <w:p w14:paraId="7B08E631">
      <w:pPr>
        <w:spacing w:after="0" w:line="360" w:lineRule="auto"/>
        <w:ind w:firstLine="480" w:firstLineChars="200"/>
        <w:jc w:val="both"/>
        <w:rPr>
          <w:rFonts w:hint="eastAsia" w:ascii="宋体" w:hAnsi="宋体" w:eastAsia="宋体" w:cs="宋体"/>
          <w:sz w:val="24"/>
          <w14:ligatures w14:val="none"/>
        </w:rPr>
      </w:pPr>
      <w:r>
        <w:rPr>
          <w:rFonts w:hint="eastAsia" w:ascii="宋体" w:hAnsi="宋体" w:eastAsia="宋体" w:cs="宋体"/>
          <w:sz w:val="24"/>
          <w14:ligatures w14:val="none"/>
        </w:rPr>
        <w:t>2.  本确认函一经本公司签署即对本公司具有法律约束力。</w:t>
      </w:r>
    </w:p>
    <w:p w14:paraId="1F73DBD1">
      <w:pPr>
        <w:spacing w:after="0" w:line="360" w:lineRule="auto"/>
        <w:ind w:firstLine="480" w:firstLineChars="200"/>
        <w:jc w:val="both"/>
        <w:rPr>
          <w:rFonts w:hint="eastAsia" w:ascii="宋体" w:hAnsi="宋体" w:eastAsia="宋体" w:cs="宋体"/>
          <w:sz w:val="24"/>
          <w14:ligatures w14:val="none"/>
        </w:rPr>
      </w:pPr>
    </w:p>
    <w:p w14:paraId="3AC497B3">
      <w:pPr>
        <w:spacing w:after="0" w:line="360" w:lineRule="auto"/>
        <w:ind w:firstLine="480" w:firstLineChars="200"/>
        <w:jc w:val="both"/>
        <w:rPr>
          <w:rFonts w:hint="eastAsia" w:ascii="宋体" w:hAnsi="宋体" w:eastAsia="宋体" w:cs="宋体"/>
          <w:sz w:val="24"/>
          <w14:ligatures w14:val="none"/>
        </w:rPr>
      </w:pPr>
      <w:r>
        <w:rPr>
          <w:rFonts w:hint="eastAsia" w:ascii="宋体" w:hAnsi="宋体" w:eastAsia="宋体" w:cs="宋体"/>
          <w:sz w:val="24"/>
          <w14:ligatures w14:val="none"/>
        </w:rPr>
        <w:t>特此确认！</w:t>
      </w:r>
    </w:p>
    <w:p w14:paraId="22FC7F67">
      <w:pPr>
        <w:spacing w:after="0" w:line="360" w:lineRule="auto"/>
        <w:ind w:firstLine="480" w:firstLineChars="200"/>
        <w:jc w:val="both"/>
        <w:rPr>
          <w:rFonts w:hint="eastAsia" w:ascii="宋体" w:hAnsi="宋体" w:eastAsia="宋体" w:cs="宋体"/>
          <w:sz w:val="24"/>
          <w14:ligatures w14:val="none"/>
        </w:rPr>
      </w:pPr>
    </w:p>
    <w:p w14:paraId="4BB04FEF">
      <w:pPr>
        <w:spacing w:after="0" w:line="360" w:lineRule="auto"/>
        <w:ind w:firstLine="480" w:firstLineChars="200"/>
        <w:jc w:val="both"/>
        <w:rPr>
          <w:rFonts w:hint="eastAsia" w:ascii="宋体" w:hAnsi="宋体" w:eastAsia="宋体" w:cs="宋体"/>
          <w:sz w:val="24"/>
          <w14:ligatures w14:val="none"/>
        </w:rPr>
      </w:pPr>
      <w:r>
        <w:rPr>
          <w:rFonts w:hint="eastAsia" w:ascii="宋体" w:hAnsi="宋体" w:eastAsia="宋体" w:cs="宋体"/>
          <w:sz w:val="24"/>
          <w14:ligatures w14:val="none"/>
        </w:rPr>
        <w:t>供应商（乙方）：</w:t>
      </w:r>
    </w:p>
    <w:p w14:paraId="45F76289">
      <w:pPr>
        <w:spacing w:after="0" w:line="360" w:lineRule="auto"/>
        <w:ind w:firstLine="480" w:firstLineChars="200"/>
        <w:jc w:val="both"/>
        <w:rPr>
          <w:rFonts w:hint="eastAsia" w:ascii="宋体" w:hAnsi="宋体" w:eastAsia="宋体" w:cs="宋体"/>
          <w:sz w:val="24"/>
          <w14:ligatures w14:val="none"/>
        </w:rPr>
      </w:pPr>
      <w:r>
        <w:rPr>
          <w:rFonts w:hint="eastAsia" w:ascii="宋体" w:hAnsi="宋体" w:eastAsia="宋体" w:cs="宋体"/>
          <w:sz w:val="24"/>
          <w14:ligatures w14:val="none"/>
        </w:rPr>
        <w:t>（公司盖章）</w:t>
      </w:r>
    </w:p>
    <w:p w14:paraId="3E8BEC06">
      <w:pPr>
        <w:spacing w:after="0" w:line="360" w:lineRule="auto"/>
        <w:ind w:firstLine="480" w:firstLineChars="200"/>
        <w:jc w:val="both"/>
        <w:rPr>
          <w:rFonts w:hint="eastAsia" w:ascii="宋体" w:hAnsi="宋体" w:eastAsia="宋体" w:cs="宋体"/>
          <w:sz w:val="24"/>
          <w14:ligatures w14:val="none"/>
        </w:rPr>
      </w:pPr>
    </w:p>
    <w:p w14:paraId="18EA7C3F">
      <w:pPr>
        <w:spacing w:after="0" w:line="360" w:lineRule="auto"/>
        <w:ind w:firstLine="480" w:firstLineChars="200"/>
        <w:jc w:val="both"/>
        <w:rPr>
          <w:rFonts w:hint="eastAsia" w:ascii="宋体" w:hAnsi="宋体" w:eastAsia="宋体" w:cs="宋体"/>
          <w:sz w:val="24"/>
          <w14:ligatures w14:val="none"/>
        </w:rPr>
      </w:pPr>
      <w:r>
        <w:rPr>
          <w:rFonts w:hint="eastAsia" w:ascii="宋体" w:hAnsi="宋体" w:eastAsia="宋体" w:cs="宋体"/>
          <w:sz w:val="24"/>
          <w14:ligatures w14:val="none"/>
        </w:rPr>
        <w:t>法定代表人/授权代表（签字）：</w:t>
      </w:r>
    </w:p>
    <w:p w14:paraId="76AD3D19">
      <w:pPr>
        <w:spacing w:after="0" w:line="360" w:lineRule="auto"/>
        <w:ind w:firstLine="480" w:firstLineChars="200"/>
        <w:jc w:val="both"/>
        <w:rPr>
          <w:rFonts w:hint="eastAsia" w:ascii="宋体" w:hAnsi="宋体" w:eastAsia="宋体" w:cs="宋体"/>
          <w:sz w:val="24"/>
          <w14:ligatures w14:val="none"/>
        </w:rPr>
      </w:pPr>
    </w:p>
    <w:p w14:paraId="6F0DDB78">
      <w:pPr>
        <w:spacing w:after="0" w:line="360" w:lineRule="auto"/>
        <w:ind w:firstLine="480" w:firstLineChars="200"/>
        <w:jc w:val="both"/>
        <w:rPr>
          <w:rFonts w:hint="eastAsia" w:ascii="宋体" w:hAnsi="宋体" w:eastAsia="宋体" w:cs="宋体"/>
          <w:sz w:val="24"/>
          <w14:ligatures w14:val="none"/>
        </w:rPr>
      </w:pPr>
      <w:r>
        <w:rPr>
          <w:rFonts w:hint="eastAsia" w:ascii="宋体" w:hAnsi="宋体" w:eastAsia="宋体" w:cs="宋体"/>
          <w:sz w:val="24"/>
          <w14:ligatures w14:val="none"/>
        </w:rPr>
        <w:t>日期： 年 月 日</w:t>
      </w:r>
    </w:p>
    <w:p w14:paraId="01A9804F">
      <w:pPr>
        <w:spacing w:after="0" w:line="360" w:lineRule="auto"/>
        <w:ind w:firstLine="480" w:firstLineChars="200"/>
        <w:jc w:val="both"/>
        <w:rPr>
          <w:rFonts w:hint="eastAsia" w:ascii="宋体" w:hAnsi="宋体" w:eastAsia="宋体" w:cs="宋体"/>
          <w:sz w:val="24"/>
          <w14:ligatures w14:val="none"/>
        </w:rPr>
      </w:pPr>
    </w:p>
    <w:p w14:paraId="5EAC17F6">
      <w:pPr>
        <w:spacing w:after="0" w:line="360" w:lineRule="auto"/>
        <w:ind w:firstLine="480" w:firstLineChars="200"/>
        <w:jc w:val="both"/>
        <w:rPr>
          <w:rFonts w:hint="eastAsia" w:ascii="宋体" w:hAnsi="宋体" w:eastAsia="宋体" w:cs="宋体"/>
          <w:sz w:val="24"/>
          <w14:ligatures w14:val="none"/>
        </w:rPr>
      </w:pPr>
    </w:p>
    <w:p w14:paraId="0B201A3A">
      <w:pPr>
        <w:spacing w:before="380" w:after="140" w:line="360" w:lineRule="auto"/>
        <w:ind w:firstLine="482" w:firstLineChars="200"/>
        <w:outlineLvl w:val="0"/>
        <w:rPr>
          <w:rFonts w:hint="eastAsia" w:ascii="宋体" w:hAnsi="宋体" w:eastAsia="宋体"/>
          <w:sz w:val="24"/>
        </w:rPr>
      </w:pPr>
      <w:r>
        <w:rPr>
          <w:rFonts w:ascii="宋体" w:hAnsi="宋体" w:eastAsia="宋体" w:cs="Arial"/>
          <w:b/>
          <w:sz w:val="24"/>
        </w:rPr>
        <w:t>附件：响应文件模板</w:t>
      </w:r>
      <w:bookmarkEnd w:id="35"/>
    </w:p>
    <w:p w14:paraId="699AEA8D">
      <w:pPr>
        <w:spacing w:before="320" w:after="120" w:line="360" w:lineRule="auto"/>
        <w:ind w:firstLine="482" w:firstLineChars="200"/>
        <w:outlineLvl w:val="1"/>
        <w:rPr>
          <w:rFonts w:hint="eastAsia" w:ascii="宋体" w:hAnsi="宋体" w:eastAsia="宋体"/>
          <w:sz w:val="24"/>
        </w:rPr>
      </w:pPr>
      <w:bookmarkStart w:id="52" w:name="heading_40"/>
      <w:r>
        <w:rPr>
          <w:rFonts w:ascii="宋体" w:hAnsi="宋体" w:eastAsia="宋体" w:cs="Arial"/>
          <w:b/>
          <w:sz w:val="24"/>
        </w:rPr>
        <w:t>附件1 法定代表人身份证明</w:t>
      </w:r>
      <w:bookmarkEnd w:id="52"/>
    </w:p>
    <w:p w14:paraId="77250800">
      <w:pPr>
        <w:spacing w:before="120" w:after="120" w:line="360" w:lineRule="auto"/>
        <w:ind w:firstLine="482" w:firstLineChars="200"/>
        <w:rPr>
          <w:rFonts w:hint="eastAsia" w:ascii="宋体" w:hAnsi="宋体" w:eastAsia="宋体"/>
          <w:sz w:val="24"/>
        </w:rPr>
      </w:pPr>
      <w:r>
        <w:rPr>
          <w:rFonts w:ascii="宋体" w:hAnsi="宋体" w:eastAsia="宋体" w:cs="Arial"/>
          <w:b/>
          <w:sz w:val="24"/>
        </w:rPr>
        <w:t>供应商名称</w:t>
      </w:r>
      <w:r>
        <w:rPr>
          <w:rFonts w:ascii="宋体" w:hAnsi="宋体" w:eastAsia="宋体" w:cs="Arial"/>
          <w:sz w:val="24"/>
        </w:rPr>
        <w:t>：________________________</w:t>
      </w:r>
    </w:p>
    <w:p w14:paraId="62B0CD9A">
      <w:pPr>
        <w:spacing w:before="120" w:after="120" w:line="360" w:lineRule="auto"/>
        <w:ind w:firstLine="482" w:firstLineChars="200"/>
        <w:rPr>
          <w:rFonts w:hint="eastAsia" w:ascii="宋体" w:hAnsi="宋体" w:eastAsia="宋体"/>
          <w:sz w:val="24"/>
        </w:rPr>
      </w:pPr>
      <w:r>
        <w:rPr>
          <w:rFonts w:ascii="宋体" w:hAnsi="宋体" w:eastAsia="宋体" w:cs="Arial"/>
          <w:b/>
          <w:sz w:val="24"/>
        </w:rPr>
        <w:t>单位性质</w:t>
      </w:r>
      <w:r>
        <w:rPr>
          <w:rFonts w:ascii="宋体" w:hAnsi="宋体" w:eastAsia="宋体" w:cs="Arial"/>
          <w:sz w:val="24"/>
        </w:rPr>
        <w:t>：________________________</w:t>
      </w:r>
    </w:p>
    <w:p w14:paraId="33CC7279">
      <w:pPr>
        <w:spacing w:before="120" w:after="120" w:line="360" w:lineRule="auto"/>
        <w:ind w:firstLine="482" w:firstLineChars="200"/>
        <w:rPr>
          <w:rFonts w:hint="eastAsia" w:ascii="宋体" w:hAnsi="宋体" w:eastAsia="宋体"/>
          <w:sz w:val="24"/>
        </w:rPr>
      </w:pPr>
      <w:r>
        <w:rPr>
          <w:rFonts w:ascii="宋体" w:hAnsi="宋体" w:eastAsia="宋体" w:cs="Arial"/>
          <w:b/>
          <w:sz w:val="24"/>
        </w:rPr>
        <w:t>地    址</w:t>
      </w:r>
      <w:r>
        <w:rPr>
          <w:rFonts w:ascii="宋体" w:hAnsi="宋体" w:eastAsia="宋体" w:cs="Arial"/>
          <w:sz w:val="24"/>
        </w:rPr>
        <w:t>：________________________</w:t>
      </w:r>
    </w:p>
    <w:p w14:paraId="45506A84">
      <w:pPr>
        <w:spacing w:before="120" w:after="120" w:line="360" w:lineRule="auto"/>
        <w:ind w:firstLine="482" w:firstLineChars="200"/>
        <w:rPr>
          <w:rFonts w:hint="eastAsia" w:ascii="宋体" w:hAnsi="宋体" w:eastAsia="宋体"/>
          <w:sz w:val="24"/>
        </w:rPr>
      </w:pPr>
      <w:r>
        <w:rPr>
          <w:rFonts w:ascii="宋体" w:hAnsi="宋体" w:eastAsia="宋体" w:cs="Arial"/>
          <w:b/>
          <w:sz w:val="24"/>
        </w:rPr>
        <w:t>成立时间</w:t>
      </w:r>
      <w:r>
        <w:rPr>
          <w:rFonts w:ascii="宋体" w:hAnsi="宋体" w:eastAsia="宋体" w:cs="Arial"/>
          <w:sz w:val="24"/>
        </w:rPr>
        <w:t>：____年____月____日</w:t>
      </w:r>
    </w:p>
    <w:p w14:paraId="39132CA2">
      <w:pPr>
        <w:spacing w:before="120" w:after="120" w:line="360" w:lineRule="auto"/>
        <w:ind w:firstLine="482" w:firstLineChars="200"/>
        <w:rPr>
          <w:rFonts w:hint="eastAsia" w:ascii="宋体" w:hAnsi="宋体" w:eastAsia="宋体"/>
          <w:sz w:val="24"/>
        </w:rPr>
      </w:pPr>
      <w:r>
        <w:rPr>
          <w:rFonts w:ascii="宋体" w:hAnsi="宋体" w:eastAsia="宋体" w:cs="Arial"/>
          <w:b/>
          <w:sz w:val="24"/>
        </w:rPr>
        <w:t>经营期限</w:t>
      </w:r>
      <w:r>
        <w:rPr>
          <w:rFonts w:ascii="宋体" w:hAnsi="宋体" w:eastAsia="宋体" w:cs="Arial"/>
          <w:sz w:val="24"/>
        </w:rPr>
        <w:t>：________________________</w:t>
      </w:r>
    </w:p>
    <w:p w14:paraId="2FA42529">
      <w:pPr>
        <w:spacing w:before="120" w:after="120" w:line="360" w:lineRule="auto"/>
        <w:ind w:firstLine="482" w:firstLineChars="200"/>
        <w:rPr>
          <w:rFonts w:hint="eastAsia" w:ascii="宋体" w:hAnsi="宋体" w:eastAsia="宋体" w:cs="Arial"/>
          <w:sz w:val="24"/>
        </w:rPr>
      </w:pPr>
      <w:r>
        <w:rPr>
          <w:rFonts w:ascii="宋体" w:hAnsi="宋体" w:eastAsia="宋体" w:cs="Arial"/>
          <w:b/>
          <w:sz w:val="24"/>
        </w:rPr>
        <w:t>姓    名</w:t>
      </w:r>
      <w:r>
        <w:rPr>
          <w:rFonts w:ascii="宋体" w:hAnsi="宋体" w:eastAsia="宋体" w:cs="Arial"/>
          <w:sz w:val="24"/>
        </w:rPr>
        <w:t xml:space="preserve">：______  性别：______  年龄：______  </w:t>
      </w:r>
    </w:p>
    <w:p w14:paraId="4732555C">
      <w:pPr>
        <w:spacing w:before="120" w:after="120" w:line="360" w:lineRule="auto"/>
        <w:ind w:firstLine="480" w:firstLineChars="200"/>
        <w:rPr>
          <w:rFonts w:hint="eastAsia" w:ascii="宋体" w:hAnsi="宋体" w:eastAsia="宋体"/>
          <w:sz w:val="24"/>
        </w:rPr>
      </w:pPr>
      <w:r>
        <w:rPr>
          <w:rFonts w:ascii="宋体" w:hAnsi="宋体" w:eastAsia="宋体" w:cs="Arial"/>
          <w:sz w:val="24"/>
        </w:rPr>
        <w:t>职务：______系</w:t>
      </w:r>
      <w:r>
        <w:rPr>
          <w:rFonts w:hint="eastAsia" w:ascii="宋体" w:hAnsi="宋体" w:eastAsia="宋体" w:cs="Arial"/>
          <w:sz w:val="24"/>
        </w:rPr>
        <w:t>：</w:t>
      </w:r>
      <w:r>
        <w:rPr>
          <w:rFonts w:ascii="宋体" w:hAnsi="宋体" w:eastAsia="宋体" w:cs="Arial"/>
          <w:sz w:val="24"/>
        </w:rPr>
        <w:t>_______</w:t>
      </w:r>
      <w:r>
        <w:rPr>
          <w:rFonts w:ascii="宋体" w:hAnsi="宋体" w:eastAsia="宋体" w:cs="Arial"/>
          <w:sz w:val="24"/>
          <w:u w:val="single"/>
        </w:rPr>
        <w:t>（供应商</w:t>
      </w:r>
      <w:r>
        <w:rPr>
          <w:rFonts w:hint="eastAsia" w:ascii="宋体" w:hAnsi="宋体" w:eastAsia="宋体" w:cs="Arial"/>
          <w:sz w:val="24"/>
          <w:u w:val="single"/>
        </w:rPr>
        <w:t>单位</w:t>
      </w:r>
      <w:r>
        <w:rPr>
          <w:rFonts w:ascii="宋体" w:hAnsi="宋体" w:eastAsia="宋体" w:cs="Arial"/>
          <w:sz w:val="24"/>
          <w:u w:val="single"/>
        </w:rPr>
        <w:t>名称）_</w:t>
      </w:r>
      <w:r>
        <w:rPr>
          <w:rFonts w:ascii="宋体" w:hAnsi="宋体" w:eastAsia="宋体" w:cs="Arial"/>
          <w:sz w:val="24"/>
        </w:rPr>
        <w:t>_______的法定代表人。</w:t>
      </w:r>
    </w:p>
    <w:p w14:paraId="71017E7D">
      <w:pPr>
        <w:spacing w:before="120" w:after="120" w:line="360" w:lineRule="auto"/>
        <w:ind w:firstLine="480" w:firstLineChars="200"/>
        <w:rPr>
          <w:rFonts w:hint="eastAsia" w:ascii="宋体" w:hAnsi="宋体" w:eastAsia="宋体"/>
          <w:sz w:val="24"/>
        </w:rPr>
      </w:pPr>
      <w:r>
        <w:rPr>
          <w:rFonts w:ascii="宋体" w:hAnsi="宋体" w:eastAsia="宋体" w:cs="Arial"/>
          <w:sz w:val="24"/>
        </w:rPr>
        <w:t>特此证明！</w:t>
      </w:r>
    </w:p>
    <w:p w14:paraId="615E79F8">
      <w:pPr>
        <w:spacing w:before="120" w:after="120" w:line="360" w:lineRule="auto"/>
        <w:ind w:firstLine="480" w:firstLineChars="200"/>
        <w:jc w:val="right"/>
        <w:rPr>
          <w:rFonts w:hint="eastAsia" w:ascii="宋体" w:hAnsi="宋体" w:eastAsia="宋体"/>
          <w:sz w:val="24"/>
        </w:rPr>
      </w:pPr>
      <w:r>
        <w:rPr>
          <w:rFonts w:ascii="宋体" w:hAnsi="宋体" w:eastAsia="宋体" w:cs="Arial"/>
          <w:sz w:val="24"/>
        </w:rPr>
        <w:t>供应商（加盖公章）：________________________</w:t>
      </w:r>
    </w:p>
    <w:p w14:paraId="007A02FA">
      <w:pPr>
        <w:spacing w:before="120" w:after="120" w:line="360" w:lineRule="auto"/>
        <w:ind w:firstLine="480" w:firstLineChars="200"/>
        <w:jc w:val="right"/>
        <w:rPr>
          <w:rFonts w:hint="eastAsia" w:ascii="宋体" w:hAnsi="宋体" w:eastAsia="宋体"/>
          <w:sz w:val="24"/>
        </w:rPr>
      </w:pPr>
      <w:r>
        <w:rPr>
          <w:rFonts w:ascii="宋体" w:hAnsi="宋体" w:eastAsia="宋体" w:cs="Arial"/>
          <w:sz w:val="24"/>
        </w:rPr>
        <w:t>日    期：____年____月____日</w:t>
      </w:r>
    </w:p>
    <w:p w14:paraId="63D0E92A">
      <w:pPr>
        <w:spacing w:before="120" w:after="120" w:line="360" w:lineRule="auto"/>
        <w:ind w:firstLine="480" w:firstLineChars="200"/>
        <w:rPr>
          <w:rFonts w:hint="eastAsia" w:ascii="宋体" w:hAnsi="宋体" w:eastAsia="宋体"/>
          <w:sz w:val="24"/>
        </w:rPr>
      </w:pPr>
      <w:r>
        <w:rPr>
          <w:rFonts w:ascii="宋体" w:hAnsi="宋体" w:eastAsia="宋体" w:cs="Arial"/>
          <w:sz w:val="24"/>
        </w:rPr>
        <w:t>（粘贴法定代表人身份证复印件）</w:t>
      </w:r>
    </w:p>
    <w:p w14:paraId="608DE0E0">
      <w:pPr>
        <w:spacing w:before="320" w:after="120" w:line="360" w:lineRule="auto"/>
        <w:ind w:firstLine="482" w:firstLineChars="200"/>
        <w:outlineLvl w:val="1"/>
        <w:rPr>
          <w:rFonts w:hint="eastAsia" w:ascii="宋体" w:hAnsi="宋体" w:eastAsia="宋体"/>
          <w:sz w:val="24"/>
        </w:rPr>
      </w:pPr>
      <w:bookmarkStart w:id="53" w:name="heading_41"/>
      <w:r>
        <w:rPr>
          <w:rFonts w:ascii="宋体" w:hAnsi="宋体" w:eastAsia="宋体" w:cs="Arial"/>
          <w:b/>
          <w:sz w:val="24"/>
        </w:rPr>
        <w:t>附件2 法定代表人授权委托书</w:t>
      </w:r>
      <w:bookmarkEnd w:id="53"/>
    </w:p>
    <w:p w14:paraId="3DF8D6E7">
      <w:pPr>
        <w:spacing w:before="120" w:after="120" w:line="360" w:lineRule="auto"/>
        <w:ind w:firstLine="480" w:firstLineChars="200"/>
        <w:rPr>
          <w:rFonts w:hint="eastAsia" w:ascii="宋体" w:hAnsi="宋体" w:eastAsia="宋体"/>
          <w:sz w:val="24"/>
        </w:rPr>
      </w:pPr>
      <w:r>
        <w:rPr>
          <w:rFonts w:ascii="宋体" w:hAnsi="宋体" w:eastAsia="宋体" w:cs="Arial"/>
          <w:sz w:val="24"/>
        </w:rPr>
        <w:t>致：广州中大餐饮管理有限公司</w:t>
      </w:r>
      <w:r>
        <w:rPr>
          <w:rFonts w:hint="eastAsia" w:ascii="宋体" w:hAnsi="宋体" w:eastAsia="宋体" w:cs="Arial"/>
          <w:sz w:val="24"/>
        </w:rPr>
        <w:t>、广州中大康乐园餐饮有限公司</w:t>
      </w:r>
    </w:p>
    <w:p w14:paraId="0E593A7B">
      <w:pPr>
        <w:spacing w:before="120" w:after="120" w:line="360" w:lineRule="auto"/>
        <w:ind w:firstLine="480" w:firstLineChars="200"/>
        <w:rPr>
          <w:rFonts w:hint="eastAsia" w:ascii="宋体" w:hAnsi="宋体" w:eastAsia="宋体"/>
          <w:sz w:val="24"/>
        </w:rPr>
      </w:pPr>
      <w:r>
        <w:rPr>
          <w:rFonts w:ascii="宋体" w:hAnsi="宋体" w:eastAsia="宋体" w:cs="Arial"/>
          <w:sz w:val="24"/>
        </w:rPr>
        <w:t>本单位法定代表人</w:t>
      </w:r>
      <w:r>
        <w:rPr>
          <w:rFonts w:ascii="宋体" w:hAnsi="宋体" w:eastAsia="宋体" w:cs="Arial"/>
          <w:sz w:val="24"/>
          <w:u w:val="single"/>
        </w:rPr>
        <w:t>（姓名）</w:t>
      </w:r>
      <w:r>
        <w:rPr>
          <w:rFonts w:ascii="宋体" w:hAnsi="宋体" w:eastAsia="宋体" w:cs="Arial"/>
          <w:b/>
          <w:sz w:val="24"/>
        </w:rPr>
        <w:t>授权</w:t>
      </w:r>
      <w:r>
        <w:rPr>
          <w:rFonts w:hint="eastAsia" w:ascii="宋体" w:hAnsi="宋体" w:eastAsia="宋体" w:cs="Arial"/>
          <w:b/>
          <w:sz w:val="24"/>
          <w:u w:val="single"/>
        </w:rPr>
        <w:t xml:space="preserve"> </w:t>
      </w:r>
      <w:r>
        <w:rPr>
          <w:rFonts w:ascii="宋体" w:hAnsi="宋体" w:eastAsia="宋体" w:cs="Arial"/>
          <w:sz w:val="24"/>
          <w:u w:val="single"/>
        </w:rPr>
        <w:t>（姓名）</w:t>
      </w:r>
      <w:r>
        <w:rPr>
          <w:rFonts w:hint="eastAsia" w:ascii="宋体" w:hAnsi="宋体" w:eastAsia="宋体" w:cs="Arial"/>
          <w:sz w:val="24"/>
          <w:u w:val="single"/>
        </w:rPr>
        <w:t xml:space="preserve"> </w:t>
      </w:r>
      <w:r>
        <w:rPr>
          <w:rFonts w:ascii="宋体" w:hAnsi="宋体" w:eastAsia="宋体" w:cs="Arial"/>
          <w:sz w:val="24"/>
        </w:rPr>
        <w:t>为我方委托代理人，参加贵单位</w:t>
      </w:r>
      <w:r>
        <w:rPr>
          <w:rFonts w:ascii="宋体" w:hAnsi="宋体" w:eastAsia="宋体" w:cs="Arial"/>
          <w:b/>
          <w:sz w:val="24"/>
        </w:rPr>
        <w:t>中大餐饮、康乐园餐饮2026年</w:t>
      </w:r>
      <w:r>
        <w:rPr>
          <w:rFonts w:hint="eastAsia" w:ascii="宋体" w:hAnsi="宋体" w:eastAsia="宋体" w:cs="Arial"/>
          <w:b/>
          <w:sz w:val="24"/>
        </w:rPr>
        <w:t>中秋月饼</w:t>
      </w:r>
      <w:r>
        <w:rPr>
          <w:rFonts w:ascii="宋体" w:hAnsi="宋体" w:eastAsia="宋体" w:cs="Arial"/>
          <w:b/>
          <w:sz w:val="24"/>
        </w:rPr>
        <w:t>采购项目</w:t>
      </w:r>
      <w:r>
        <w:rPr>
          <w:rFonts w:ascii="宋体" w:hAnsi="宋体" w:eastAsia="宋体" w:cs="Arial"/>
          <w:sz w:val="24"/>
        </w:rPr>
        <w:t>遴选活动，全权代表我方处理该项目遴选、签约等相关事宜。</w:t>
      </w:r>
    </w:p>
    <w:p w14:paraId="10253D01">
      <w:pPr>
        <w:spacing w:before="120" w:after="120" w:line="360" w:lineRule="auto"/>
        <w:ind w:firstLine="480" w:firstLineChars="200"/>
        <w:rPr>
          <w:rFonts w:hint="eastAsia" w:ascii="宋体" w:hAnsi="宋体" w:eastAsia="宋体"/>
          <w:sz w:val="24"/>
        </w:rPr>
      </w:pPr>
      <w:r>
        <w:rPr>
          <w:rFonts w:ascii="宋体" w:hAnsi="宋体" w:eastAsia="宋体" w:cs="Arial"/>
          <w:sz w:val="24"/>
        </w:rPr>
        <w:t>委托代理人无转委托权，我方对委托代理人的所有行为承担法律责任。</w:t>
      </w:r>
    </w:p>
    <w:p w14:paraId="7FA20B4D">
      <w:pPr>
        <w:spacing w:before="120" w:after="120" w:line="360" w:lineRule="auto"/>
        <w:ind w:firstLine="482" w:firstLineChars="200"/>
        <w:rPr>
          <w:rFonts w:hint="eastAsia" w:ascii="宋体" w:hAnsi="宋体" w:eastAsia="宋体"/>
          <w:sz w:val="24"/>
        </w:rPr>
      </w:pPr>
      <w:r>
        <w:rPr>
          <w:rFonts w:ascii="宋体" w:hAnsi="宋体" w:eastAsia="宋体" w:cs="Arial"/>
          <w:b/>
          <w:sz w:val="24"/>
        </w:rPr>
        <w:t>委托代理人信息</w:t>
      </w:r>
      <w:r>
        <w:rPr>
          <w:rFonts w:ascii="宋体" w:hAnsi="宋体" w:eastAsia="宋体" w:cs="Arial"/>
          <w:sz w:val="24"/>
        </w:rPr>
        <w:t>：</w:t>
      </w:r>
    </w:p>
    <w:p w14:paraId="0698952B">
      <w:pPr>
        <w:spacing w:before="120" w:after="120" w:line="360" w:lineRule="auto"/>
        <w:ind w:firstLine="480" w:firstLineChars="200"/>
        <w:rPr>
          <w:rFonts w:hint="eastAsia" w:ascii="宋体" w:hAnsi="宋体" w:eastAsia="宋体"/>
          <w:sz w:val="24"/>
        </w:rPr>
      </w:pPr>
      <w:r>
        <w:rPr>
          <w:rFonts w:ascii="宋体" w:hAnsi="宋体" w:eastAsia="宋体" w:cs="Arial"/>
          <w:sz w:val="24"/>
        </w:rPr>
        <w:t>姓名：________  性别：________  年龄：________  职务：________</w:t>
      </w:r>
    </w:p>
    <w:p w14:paraId="269F4067">
      <w:pPr>
        <w:spacing w:before="120" w:after="120" w:line="360" w:lineRule="auto"/>
        <w:ind w:firstLine="480" w:firstLineChars="200"/>
        <w:rPr>
          <w:rFonts w:hint="eastAsia" w:ascii="宋体" w:hAnsi="宋体" w:eastAsia="宋体"/>
          <w:sz w:val="24"/>
        </w:rPr>
      </w:pPr>
      <w:r>
        <w:rPr>
          <w:rFonts w:ascii="宋体" w:hAnsi="宋体" w:eastAsia="宋体" w:cs="Arial"/>
          <w:sz w:val="24"/>
        </w:rPr>
        <w:t>电话：________  身份证号码：________</w:t>
      </w:r>
    </w:p>
    <w:p w14:paraId="46768895">
      <w:pPr>
        <w:spacing w:before="120" w:after="120" w:line="360" w:lineRule="auto"/>
        <w:ind w:firstLine="480" w:firstLineChars="200"/>
        <w:rPr>
          <w:rFonts w:hint="eastAsia" w:ascii="宋体" w:hAnsi="宋体" w:eastAsia="宋体"/>
          <w:sz w:val="24"/>
        </w:rPr>
      </w:pPr>
      <w:r>
        <w:rPr>
          <w:rFonts w:ascii="宋体" w:hAnsi="宋体" w:eastAsia="宋体" w:cs="Arial"/>
          <w:sz w:val="24"/>
        </w:rPr>
        <w:t>详细通讯地址：________________________</w:t>
      </w:r>
    </w:p>
    <w:p w14:paraId="4C629BD0">
      <w:pPr>
        <w:spacing w:before="120" w:after="120" w:line="360" w:lineRule="auto"/>
        <w:ind w:firstLine="480" w:firstLineChars="200"/>
        <w:jc w:val="right"/>
        <w:rPr>
          <w:rFonts w:hint="eastAsia" w:ascii="宋体" w:hAnsi="宋体" w:eastAsia="宋体"/>
          <w:sz w:val="24"/>
        </w:rPr>
      </w:pPr>
      <w:r>
        <w:rPr>
          <w:rFonts w:ascii="宋体" w:hAnsi="宋体" w:eastAsia="宋体" w:cs="Arial"/>
          <w:sz w:val="24"/>
        </w:rPr>
        <w:t>供应商（加盖公章）：________________________</w:t>
      </w:r>
    </w:p>
    <w:p w14:paraId="7E0052AD">
      <w:pPr>
        <w:spacing w:before="120" w:after="120" w:line="360" w:lineRule="auto"/>
        <w:ind w:firstLine="480" w:firstLineChars="200"/>
        <w:jc w:val="right"/>
        <w:rPr>
          <w:rFonts w:hint="eastAsia" w:ascii="宋体" w:hAnsi="宋体" w:eastAsia="宋体"/>
          <w:sz w:val="24"/>
        </w:rPr>
      </w:pPr>
      <w:r>
        <w:rPr>
          <w:rFonts w:ascii="宋体" w:hAnsi="宋体" w:eastAsia="宋体" w:cs="Arial"/>
          <w:sz w:val="24"/>
        </w:rPr>
        <w:t>法定代表人（签字/盖章）：________________________</w:t>
      </w:r>
    </w:p>
    <w:p w14:paraId="6D70A810">
      <w:pPr>
        <w:spacing w:before="120" w:after="120" w:line="360" w:lineRule="auto"/>
        <w:ind w:firstLine="480" w:firstLineChars="200"/>
        <w:jc w:val="right"/>
        <w:rPr>
          <w:rFonts w:hint="eastAsia" w:ascii="宋体" w:hAnsi="宋体" w:eastAsia="宋体"/>
          <w:sz w:val="24"/>
        </w:rPr>
      </w:pPr>
      <w:r>
        <w:rPr>
          <w:rFonts w:ascii="宋体" w:hAnsi="宋体" w:eastAsia="宋体" w:cs="Arial"/>
          <w:sz w:val="24"/>
        </w:rPr>
        <w:t>委托代理人（签字）：________________________</w:t>
      </w:r>
    </w:p>
    <w:p w14:paraId="15EC5956">
      <w:pPr>
        <w:spacing w:before="120" w:after="120" w:line="360" w:lineRule="auto"/>
        <w:ind w:firstLine="480" w:firstLineChars="200"/>
        <w:jc w:val="right"/>
        <w:rPr>
          <w:rFonts w:hint="eastAsia" w:ascii="宋体" w:hAnsi="宋体" w:eastAsia="宋体"/>
          <w:sz w:val="24"/>
        </w:rPr>
      </w:pPr>
      <w:r>
        <w:rPr>
          <w:rFonts w:ascii="宋体" w:hAnsi="宋体" w:eastAsia="宋体" w:cs="Arial"/>
          <w:sz w:val="24"/>
        </w:rPr>
        <w:t>日    期：____年____月____日</w:t>
      </w:r>
    </w:p>
    <w:p w14:paraId="272C04E5">
      <w:pPr>
        <w:spacing w:before="120" w:after="120" w:line="360" w:lineRule="auto"/>
        <w:jc w:val="both"/>
        <w:rPr>
          <w:rFonts w:hint="eastAsia" w:ascii="宋体" w:hAnsi="宋体" w:eastAsia="宋体"/>
          <w:sz w:val="24"/>
        </w:rPr>
      </w:pPr>
      <w:r>
        <w:rPr>
          <w:rFonts w:ascii="宋体" w:hAnsi="宋体" w:eastAsia="宋体" w:cs="Arial"/>
          <w:sz w:val="24"/>
        </w:rPr>
        <w:t>（粘贴委托代理人身份证复印件）</w:t>
      </w:r>
    </w:p>
    <w:p w14:paraId="5EC4980F">
      <w:pPr>
        <w:spacing w:before="320" w:after="120" w:line="360" w:lineRule="auto"/>
        <w:jc w:val="both"/>
        <w:outlineLvl w:val="1"/>
        <w:rPr>
          <w:rFonts w:hint="eastAsia" w:ascii="宋体" w:hAnsi="宋体" w:eastAsia="宋体" w:cs="Arial"/>
          <w:b/>
          <w:sz w:val="24"/>
        </w:rPr>
      </w:pPr>
      <w:bookmarkStart w:id="54" w:name="heading_43"/>
      <w:r>
        <w:rPr>
          <w:rFonts w:ascii="宋体" w:hAnsi="宋体" w:eastAsia="宋体" w:cs="Arial"/>
          <w:b/>
          <w:sz w:val="24"/>
        </w:rPr>
        <w:t>附件</w:t>
      </w:r>
      <w:r>
        <w:rPr>
          <w:rFonts w:hint="eastAsia" w:ascii="宋体" w:hAnsi="宋体" w:eastAsia="宋体" w:cs="Arial"/>
          <w:b/>
          <w:sz w:val="24"/>
        </w:rPr>
        <w:t>3</w:t>
      </w:r>
      <w:r>
        <w:rPr>
          <w:rFonts w:ascii="宋体" w:hAnsi="宋体" w:eastAsia="宋体" w:cs="Arial"/>
          <w:b/>
          <w:sz w:val="24"/>
        </w:rPr>
        <w:t xml:space="preserve"> 同类项目业绩经验一览表（202</w:t>
      </w:r>
      <w:r>
        <w:rPr>
          <w:rFonts w:hint="eastAsia" w:ascii="宋体" w:hAnsi="宋体" w:eastAsia="宋体" w:cs="Arial"/>
          <w:b/>
          <w:sz w:val="24"/>
        </w:rPr>
        <w:t>3</w:t>
      </w:r>
      <w:r>
        <w:rPr>
          <w:rFonts w:ascii="宋体" w:hAnsi="宋体" w:eastAsia="宋体" w:cs="Arial"/>
          <w:b/>
          <w:sz w:val="24"/>
        </w:rPr>
        <w:t>年1月1日至今）</w:t>
      </w:r>
      <w:bookmarkEnd w:id="54"/>
    </w:p>
    <w:p w14:paraId="370A739B">
      <w:pPr>
        <w:spacing w:before="120" w:after="120" w:line="360" w:lineRule="auto"/>
        <w:jc w:val="both"/>
        <w:rPr>
          <w:rFonts w:hint="eastAsia" w:ascii="宋体" w:hAnsi="宋体" w:eastAsia="宋体" w:cs="Arial"/>
          <w:b/>
          <w:sz w:val="24"/>
        </w:rPr>
      </w:pPr>
      <w:r>
        <w:rPr>
          <w:rFonts w:ascii="宋体" w:hAnsi="宋体" w:eastAsia="宋体" w:cs="Arial"/>
          <w:b/>
          <w:color w:val="0D0D0D" w:themeColor="text1" w:themeTint="F2"/>
          <w:sz w:val="24"/>
          <w14:textFill>
            <w14:solidFill>
              <w14:schemeClr w14:val="tx1">
                <w14:lumMod w14:val="95000"/>
                <w14:lumOff w14:val="5000"/>
              </w14:schemeClr>
            </w14:solidFill>
          </w14:textFill>
        </w:rPr>
        <w:t>响应子包</w:t>
      </w:r>
      <w:r>
        <w:rPr>
          <w:rFonts w:ascii="宋体" w:hAnsi="宋体" w:eastAsia="宋体" w:cs="Arial"/>
          <w:color w:val="0D0D0D" w:themeColor="text1" w:themeTint="F2"/>
          <w:sz w:val="24"/>
          <w14:textFill>
            <w14:solidFill>
              <w14:schemeClr w14:val="tx1">
                <w14:lumMod w14:val="95000"/>
                <w14:lumOff w14:val="5000"/>
              </w14:schemeClr>
            </w14:solidFill>
          </w14:textFill>
        </w:rPr>
        <w:t xml:space="preserve">：□子包一  □子包二  </w:t>
      </w:r>
    </w:p>
    <w:tbl>
      <w:tblPr>
        <w:tblStyle w:val="8"/>
        <w:tblW w:w="9782" w:type="dxa"/>
        <w:tblInd w:w="-9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426"/>
        <w:gridCol w:w="1276"/>
        <w:gridCol w:w="1276"/>
        <w:gridCol w:w="992"/>
        <w:gridCol w:w="1276"/>
        <w:gridCol w:w="1276"/>
        <w:gridCol w:w="1417"/>
        <w:gridCol w:w="1843"/>
      </w:tblGrid>
      <w:tr w14:paraId="339C3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26" w:type="dxa"/>
            <w:tcMar>
              <w:top w:w="60" w:type="dxa"/>
              <w:left w:w="120" w:type="dxa"/>
              <w:bottom w:w="30" w:type="dxa"/>
              <w:right w:w="120" w:type="dxa"/>
            </w:tcMar>
          </w:tcPr>
          <w:p w14:paraId="2701DA53">
            <w:pPr>
              <w:spacing w:before="120" w:after="120" w:line="360" w:lineRule="auto"/>
              <w:jc w:val="center"/>
              <w:rPr>
                <w:rFonts w:hint="eastAsia" w:ascii="宋体" w:hAnsi="宋体" w:eastAsia="宋体"/>
                <w:sz w:val="24"/>
              </w:rPr>
            </w:pPr>
            <w:r>
              <w:rPr>
                <w:rFonts w:ascii="宋体" w:hAnsi="宋体" w:eastAsia="宋体" w:cs="Arial"/>
                <w:sz w:val="24"/>
              </w:rPr>
              <w:t>序号</w:t>
            </w:r>
          </w:p>
        </w:tc>
        <w:tc>
          <w:tcPr>
            <w:tcW w:w="1276" w:type="dxa"/>
            <w:tcMar>
              <w:top w:w="60" w:type="dxa"/>
              <w:left w:w="120" w:type="dxa"/>
              <w:bottom w:w="30" w:type="dxa"/>
              <w:right w:w="120" w:type="dxa"/>
            </w:tcMar>
          </w:tcPr>
          <w:p w14:paraId="0D2173E7">
            <w:pPr>
              <w:spacing w:before="120" w:after="120" w:line="360" w:lineRule="auto"/>
              <w:jc w:val="center"/>
              <w:rPr>
                <w:rFonts w:hint="eastAsia" w:ascii="宋体" w:hAnsi="宋体" w:eastAsia="宋体"/>
                <w:sz w:val="24"/>
              </w:rPr>
            </w:pPr>
            <w:r>
              <w:rPr>
                <w:rFonts w:ascii="宋体" w:hAnsi="宋体" w:eastAsia="宋体" w:cs="Arial"/>
                <w:sz w:val="24"/>
              </w:rPr>
              <w:t>项目名称</w:t>
            </w:r>
          </w:p>
        </w:tc>
        <w:tc>
          <w:tcPr>
            <w:tcW w:w="1276" w:type="dxa"/>
            <w:tcMar>
              <w:top w:w="60" w:type="dxa"/>
              <w:left w:w="120" w:type="dxa"/>
              <w:bottom w:w="30" w:type="dxa"/>
              <w:right w:w="120" w:type="dxa"/>
            </w:tcMar>
          </w:tcPr>
          <w:p w14:paraId="57681EE9">
            <w:pPr>
              <w:spacing w:before="120" w:after="120" w:line="360" w:lineRule="auto"/>
              <w:jc w:val="center"/>
              <w:rPr>
                <w:rFonts w:hint="eastAsia" w:ascii="宋体" w:hAnsi="宋体" w:eastAsia="宋体"/>
                <w:sz w:val="24"/>
              </w:rPr>
            </w:pPr>
            <w:r>
              <w:rPr>
                <w:rFonts w:ascii="宋体" w:hAnsi="宋体" w:eastAsia="宋体" w:cs="Arial"/>
                <w:sz w:val="24"/>
              </w:rPr>
              <w:t>合作单位</w:t>
            </w:r>
          </w:p>
        </w:tc>
        <w:tc>
          <w:tcPr>
            <w:tcW w:w="992" w:type="dxa"/>
            <w:tcMar>
              <w:top w:w="60" w:type="dxa"/>
              <w:left w:w="120" w:type="dxa"/>
              <w:bottom w:w="30" w:type="dxa"/>
              <w:right w:w="120" w:type="dxa"/>
            </w:tcMar>
          </w:tcPr>
          <w:p w14:paraId="5076C11C">
            <w:pPr>
              <w:spacing w:before="120" w:after="120" w:line="360" w:lineRule="auto"/>
              <w:jc w:val="center"/>
              <w:rPr>
                <w:rFonts w:hint="eastAsia" w:ascii="宋体" w:hAnsi="宋体" w:eastAsia="宋体"/>
                <w:sz w:val="24"/>
              </w:rPr>
            </w:pPr>
            <w:r>
              <w:rPr>
                <w:rFonts w:ascii="宋体" w:hAnsi="宋体" w:eastAsia="宋体" w:cs="Arial"/>
                <w:sz w:val="24"/>
              </w:rPr>
              <w:t>物资品类</w:t>
            </w:r>
          </w:p>
        </w:tc>
        <w:tc>
          <w:tcPr>
            <w:tcW w:w="1276" w:type="dxa"/>
            <w:tcMar>
              <w:top w:w="60" w:type="dxa"/>
              <w:left w:w="120" w:type="dxa"/>
              <w:bottom w:w="30" w:type="dxa"/>
              <w:right w:w="120" w:type="dxa"/>
            </w:tcMar>
          </w:tcPr>
          <w:p w14:paraId="76DB41A9">
            <w:pPr>
              <w:spacing w:before="120" w:after="120" w:line="360" w:lineRule="auto"/>
              <w:jc w:val="center"/>
              <w:rPr>
                <w:rFonts w:hint="eastAsia" w:ascii="宋体" w:hAnsi="宋体" w:eastAsia="宋体"/>
                <w:sz w:val="24"/>
              </w:rPr>
            </w:pPr>
            <w:r>
              <w:rPr>
                <w:rFonts w:ascii="宋体" w:hAnsi="宋体" w:eastAsia="宋体" w:cs="Arial"/>
                <w:sz w:val="24"/>
              </w:rPr>
              <w:t>合同金额（万元）</w:t>
            </w:r>
          </w:p>
        </w:tc>
        <w:tc>
          <w:tcPr>
            <w:tcW w:w="1276" w:type="dxa"/>
            <w:tcMar>
              <w:top w:w="60" w:type="dxa"/>
              <w:left w:w="120" w:type="dxa"/>
              <w:bottom w:w="30" w:type="dxa"/>
              <w:right w:w="120" w:type="dxa"/>
            </w:tcMar>
          </w:tcPr>
          <w:p w14:paraId="5472DF36">
            <w:pPr>
              <w:spacing w:before="120" w:after="120" w:line="360" w:lineRule="auto"/>
              <w:jc w:val="center"/>
              <w:rPr>
                <w:rFonts w:hint="eastAsia" w:ascii="宋体" w:hAnsi="宋体" w:eastAsia="宋体"/>
                <w:sz w:val="24"/>
              </w:rPr>
            </w:pPr>
            <w:r>
              <w:rPr>
                <w:rFonts w:ascii="宋体" w:hAnsi="宋体" w:eastAsia="宋体" w:cs="Arial"/>
                <w:sz w:val="24"/>
              </w:rPr>
              <w:t>合作期限</w:t>
            </w:r>
          </w:p>
        </w:tc>
        <w:tc>
          <w:tcPr>
            <w:tcW w:w="1417" w:type="dxa"/>
            <w:tcMar>
              <w:top w:w="60" w:type="dxa"/>
              <w:left w:w="120" w:type="dxa"/>
              <w:bottom w:w="30" w:type="dxa"/>
              <w:right w:w="120" w:type="dxa"/>
            </w:tcMar>
          </w:tcPr>
          <w:p w14:paraId="55EA0D55">
            <w:pPr>
              <w:spacing w:before="120" w:after="120" w:line="360" w:lineRule="auto"/>
              <w:jc w:val="center"/>
              <w:rPr>
                <w:rFonts w:hint="eastAsia" w:ascii="宋体" w:hAnsi="宋体" w:eastAsia="宋体"/>
                <w:sz w:val="24"/>
              </w:rPr>
            </w:pPr>
            <w:r>
              <w:rPr>
                <w:rFonts w:ascii="宋体" w:hAnsi="宋体" w:eastAsia="宋体" w:cs="Arial"/>
                <w:sz w:val="24"/>
              </w:rPr>
              <w:t>联系人</w:t>
            </w:r>
          </w:p>
        </w:tc>
        <w:tc>
          <w:tcPr>
            <w:tcW w:w="1843" w:type="dxa"/>
            <w:tcMar>
              <w:top w:w="60" w:type="dxa"/>
              <w:left w:w="120" w:type="dxa"/>
              <w:bottom w:w="30" w:type="dxa"/>
              <w:right w:w="120" w:type="dxa"/>
            </w:tcMar>
          </w:tcPr>
          <w:p w14:paraId="0F0E533E">
            <w:pPr>
              <w:spacing w:before="120" w:after="120" w:line="360" w:lineRule="auto"/>
              <w:jc w:val="center"/>
              <w:rPr>
                <w:rFonts w:hint="eastAsia" w:ascii="宋体" w:hAnsi="宋体" w:eastAsia="宋体"/>
                <w:sz w:val="24"/>
              </w:rPr>
            </w:pPr>
            <w:r>
              <w:rPr>
                <w:rFonts w:ascii="宋体" w:hAnsi="宋体" w:eastAsia="宋体" w:cs="Arial"/>
                <w:sz w:val="24"/>
              </w:rPr>
              <w:t>联系电话</w:t>
            </w:r>
          </w:p>
        </w:tc>
      </w:tr>
      <w:tr w14:paraId="73ECD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26" w:type="dxa"/>
            <w:tcMar>
              <w:top w:w="60" w:type="dxa"/>
              <w:left w:w="120" w:type="dxa"/>
              <w:bottom w:w="30" w:type="dxa"/>
              <w:right w:w="120" w:type="dxa"/>
            </w:tcMar>
          </w:tcPr>
          <w:p w14:paraId="0A216D35">
            <w:pPr>
              <w:spacing w:before="120" w:after="120" w:line="360" w:lineRule="auto"/>
              <w:jc w:val="center"/>
              <w:rPr>
                <w:rFonts w:hint="eastAsia" w:ascii="宋体" w:hAnsi="宋体" w:eastAsia="宋体"/>
                <w:sz w:val="24"/>
              </w:rPr>
            </w:pPr>
            <w:r>
              <w:rPr>
                <w:rFonts w:ascii="宋体" w:hAnsi="宋体" w:eastAsia="宋体" w:cs="Arial"/>
                <w:sz w:val="24"/>
              </w:rPr>
              <w:t>1</w:t>
            </w:r>
          </w:p>
        </w:tc>
        <w:tc>
          <w:tcPr>
            <w:tcW w:w="1276" w:type="dxa"/>
            <w:tcMar>
              <w:top w:w="60" w:type="dxa"/>
              <w:left w:w="120" w:type="dxa"/>
              <w:bottom w:w="30" w:type="dxa"/>
              <w:right w:w="120" w:type="dxa"/>
            </w:tcMar>
          </w:tcPr>
          <w:p w14:paraId="3F6743B9">
            <w:pPr>
              <w:spacing w:line="360" w:lineRule="auto"/>
              <w:rPr>
                <w:rFonts w:hint="eastAsia" w:ascii="宋体" w:hAnsi="宋体" w:eastAsia="宋体"/>
                <w:sz w:val="24"/>
              </w:rPr>
            </w:pPr>
          </w:p>
        </w:tc>
        <w:tc>
          <w:tcPr>
            <w:tcW w:w="1276" w:type="dxa"/>
            <w:tcMar>
              <w:top w:w="60" w:type="dxa"/>
              <w:left w:w="120" w:type="dxa"/>
              <w:bottom w:w="30" w:type="dxa"/>
              <w:right w:w="120" w:type="dxa"/>
            </w:tcMar>
          </w:tcPr>
          <w:p w14:paraId="779DF642">
            <w:pPr>
              <w:spacing w:line="360" w:lineRule="auto"/>
              <w:rPr>
                <w:rFonts w:hint="eastAsia" w:ascii="宋体" w:hAnsi="宋体" w:eastAsia="宋体"/>
                <w:sz w:val="24"/>
              </w:rPr>
            </w:pPr>
          </w:p>
        </w:tc>
        <w:tc>
          <w:tcPr>
            <w:tcW w:w="992" w:type="dxa"/>
            <w:tcMar>
              <w:top w:w="60" w:type="dxa"/>
              <w:left w:w="120" w:type="dxa"/>
              <w:bottom w:w="30" w:type="dxa"/>
              <w:right w:w="120" w:type="dxa"/>
            </w:tcMar>
          </w:tcPr>
          <w:p w14:paraId="01FD2AF5">
            <w:pPr>
              <w:spacing w:line="360" w:lineRule="auto"/>
              <w:rPr>
                <w:rFonts w:hint="eastAsia" w:ascii="宋体" w:hAnsi="宋体" w:eastAsia="宋体"/>
                <w:sz w:val="24"/>
              </w:rPr>
            </w:pPr>
          </w:p>
        </w:tc>
        <w:tc>
          <w:tcPr>
            <w:tcW w:w="1276" w:type="dxa"/>
            <w:tcMar>
              <w:top w:w="60" w:type="dxa"/>
              <w:left w:w="120" w:type="dxa"/>
              <w:bottom w:w="30" w:type="dxa"/>
              <w:right w:w="120" w:type="dxa"/>
            </w:tcMar>
          </w:tcPr>
          <w:p w14:paraId="6865988C">
            <w:pPr>
              <w:spacing w:line="360" w:lineRule="auto"/>
              <w:rPr>
                <w:rFonts w:hint="eastAsia" w:ascii="宋体" w:hAnsi="宋体" w:eastAsia="宋体"/>
                <w:sz w:val="24"/>
              </w:rPr>
            </w:pPr>
          </w:p>
        </w:tc>
        <w:tc>
          <w:tcPr>
            <w:tcW w:w="1276" w:type="dxa"/>
            <w:tcMar>
              <w:top w:w="60" w:type="dxa"/>
              <w:left w:w="120" w:type="dxa"/>
              <w:bottom w:w="30" w:type="dxa"/>
              <w:right w:w="120" w:type="dxa"/>
            </w:tcMar>
          </w:tcPr>
          <w:p w14:paraId="1C9A1EC3">
            <w:pPr>
              <w:spacing w:line="360" w:lineRule="auto"/>
              <w:rPr>
                <w:rFonts w:hint="eastAsia" w:ascii="宋体" w:hAnsi="宋体" w:eastAsia="宋体"/>
                <w:sz w:val="24"/>
              </w:rPr>
            </w:pPr>
          </w:p>
        </w:tc>
        <w:tc>
          <w:tcPr>
            <w:tcW w:w="1417" w:type="dxa"/>
            <w:tcMar>
              <w:top w:w="60" w:type="dxa"/>
              <w:left w:w="120" w:type="dxa"/>
              <w:bottom w:w="30" w:type="dxa"/>
              <w:right w:w="120" w:type="dxa"/>
            </w:tcMar>
          </w:tcPr>
          <w:p w14:paraId="5F9AD888">
            <w:pPr>
              <w:spacing w:line="360" w:lineRule="auto"/>
              <w:rPr>
                <w:rFonts w:hint="eastAsia" w:ascii="宋体" w:hAnsi="宋体" w:eastAsia="宋体"/>
                <w:sz w:val="24"/>
              </w:rPr>
            </w:pPr>
          </w:p>
        </w:tc>
        <w:tc>
          <w:tcPr>
            <w:tcW w:w="1843" w:type="dxa"/>
            <w:tcMar>
              <w:top w:w="60" w:type="dxa"/>
              <w:left w:w="120" w:type="dxa"/>
              <w:bottom w:w="30" w:type="dxa"/>
              <w:right w:w="120" w:type="dxa"/>
            </w:tcMar>
          </w:tcPr>
          <w:p w14:paraId="5271D45D">
            <w:pPr>
              <w:spacing w:line="360" w:lineRule="auto"/>
              <w:rPr>
                <w:rFonts w:hint="eastAsia" w:ascii="宋体" w:hAnsi="宋体" w:eastAsia="宋体"/>
                <w:sz w:val="24"/>
              </w:rPr>
            </w:pPr>
          </w:p>
        </w:tc>
      </w:tr>
      <w:tr w14:paraId="78D06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26" w:type="dxa"/>
            <w:tcMar>
              <w:top w:w="60" w:type="dxa"/>
              <w:left w:w="120" w:type="dxa"/>
              <w:bottom w:w="30" w:type="dxa"/>
              <w:right w:w="120" w:type="dxa"/>
            </w:tcMar>
          </w:tcPr>
          <w:p w14:paraId="5F03A003">
            <w:pPr>
              <w:spacing w:before="120" w:after="120" w:line="360" w:lineRule="auto"/>
              <w:jc w:val="center"/>
              <w:rPr>
                <w:rFonts w:hint="eastAsia" w:ascii="宋体" w:hAnsi="宋体" w:eastAsia="宋体"/>
                <w:sz w:val="24"/>
              </w:rPr>
            </w:pPr>
            <w:r>
              <w:rPr>
                <w:rFonts w:ascii="宋体" w:hAnsi="宋体" w:eastAsia="宋体" w:cs="Arial"/>
                <w:sz w:val="24"/>
              </w:rPr>
              <w:t>2</w:t>
            </w:r>
          </w:p>
        </w:tc>
        <w:tc>
          <w:tcPr>
            <w:tcW w:w="1276" w:type="dxa"/>
            <w:tcMar>
              <w:top w:w="60" w:type="dxa"/>
              <w:left w:w="120" w:type="dxa"/>
              <w:bottom w:w="30" w:type="dxa"/>
              <w:right w:w="120" w:type="dxa"/>
            </w:tcMar>
          </w:tcPr>
          <w:p w14:paraId="291E6D88">
            <w:pPr>
              <w:spacing w:line="360" w:lineRule="auto"/>
              <w:rPr>
                <w:rFonts w:hint="eastAsia" w:ascii="宋体" w:hAnsi="宋体" w:eastAsia="宋体"/>
                <w:sz w:val="24"/>
              </w:rPr>
            </w:pPr>
          </w:p>
        </w:tc>
        <w:tc>
          <w:tcPr>
            <w:tcW w:w="1276" w:type="dxa"/>
            <w:tcMar>
              <w:top w:w="60" w:type="dxa"/>
              <w:left w:w="120" w:type="dxa"/>
              <w:bottom w:w="30" w:type="dxa"/>
              <w:right w:w="120" w:type="dxa"/>
            </w:tcMar>
          </w:tcPr>
          <w:p w14:paraId="0F5CB71A">
            <w:pPr>
              <w:spacing w:line="360" w:lineRule="auto"/>
              <w:rPr>
                <w:rFonts w:hint="eastAsia" w:ascii="宋体" w:hAnsi="宋体" w:eastAsia="宋体"/>
                <w:sz w:val="24"/>
              </w:rPr>
            </w:pPr>
          </w:p>
        </w:tc>
        <w:tc>
          <w:tcPr>
            <w:tcW w:w="992" w:type="dxa"/>
            <w:tcMar>
              <w:top w:w="60" w:type="dxa"/>
              <w:left w:w="120" w:type="dxa"/>
              <w:bottom w:w="30" w:type="dxa"/>
              <w:right w:w="120" w:type="dxa"/>
            </w:tcMar>
          </w:tcPr>
          <w:p w14:paraId="72E918DD">
            <w:pPr>
              <w:spacing w:line="360" w:lineRule="auto"/>
              <w:rPr>
                <w:rFonts w:hint="eastAsia" w:ascii="宋体" w:hAnsi="宋体" w:eastAsia="宋体"/>
                <w:sz w:val="24"/>
              </w:rPr>
            </w:pPr>
          </w:p>
        </w:tc>
        <w:tc>
          <w:tcPr>
            <w:tcW w:w="1276" w:type="dxa"/>
            <w:tcMar>
              <w:top w:w="60" w:type="dxa"/>
              <w:left w:w="120" w:type="dxa"/>
              <w:bottom w:w="30" w:type="dxa"/>
              <w:right w:w="120" w:type="dxa"/>
            </w:tcMar>
          </w:tcPr>
          <w:p w14:paraId="736BCDDE">
            <w:pPr>
              <w:spacing w:line="360" w:lineRule="auto"/>
              <w:rPr>
                <w:rFonts w:hint="eastAsia" w:ascii="宋体" w:hAnsi="宋体" w:eastAsia="宋体"/>
                <w:sz w:val="24"/>
              </w:rPr>
            </w:pPr>
          </w:p>
        </w:tc>
        <w:tc>
          <w:tcPr>
            <w:tcW w:w="1276" w:type="dxa"/>
            <w:tcMar>
              <w:top w:w="60" w:type="dxa"/>
              <w:left w:w="120" w:type="dxa"/>
              <w:bottom w:w="30" w:type="dxa"/>
              <w:right w:w="120" w:type="dxa"/>
            </w:tcMar>
          </w:tcPr>
          <w:p w14:paraId="09C5B9F5">
            <w:pPr>
              <w:spacing w:line="360" w:lineRule="auto"/>
              <w:rPr>
                <w:rFonts w:hint="eastAsia" w:ascii="宋体" w:hAnsi="宋体" w:eastAsia="宋体"/>
                <w:sz w:val="24"/>
              </w:rPr>
            </w:pPr>
          </w:p>
        </w:tc>
        <w:tc>
          <w:tcPr>
            <w:tcW w:w="1417" w:type="dxa"/>
            <w:tcMar>
              <w:top w:w="60" w:type="dxa"/>
              <w:left w:w="120" w:type="dxa"/>
              <w:bottom w:w="30" w:type="dxa"/>
              <w:right w:w="120" w:type="dxa"/>
            </w:tcMar>
          </w:tcPr>
          <w:p w14:paraId="017BACAC">
            <w:pPr>
              <w:spacing w:line="360" w:lineRule="auto"/>
              <w:rPr>
                <w:rFonts w:hint="eastAsia" w:ascii="宋体" w:hAnsi="宋体" w:eastAsia="宋体"/>
                <w:sz w:val="24"/>
              </w:rPr>
            </w:pPr>
          </w:p>
        </w:tc>
        <w:tc>
          <w:tcPr>
            <w:tcW w:w="1843" w:type="dxa"/>
            <w:tcMar>
              <w:top w:w="60" w:type="dxa"/>
              <w:left w:w="120" w:type="dxa"/>
              <w:bottom w:w="30" w:type="dxa"/>
              <w:right w:w="120" w:type="dxa"/>
            </w:tcMar>
          </w:tcPr>
          <w:p w14:paraId="009BEC99">
            <w:pPr>
              <w:spacing w:line="360" w:lineRule="auto"/>
              <w:rPr>
                <w:rFonts w:hint="eastAsia" w:ascii="宋体" w:hAnsi="宋体" w:eastAsia="宋体"/>
                <w:sz w:val="24"/>
              </w:rPr>
            </w:pPr>
          </w:p>
        </w:tc>
      </w:tr>
      <w:tr w14:paraId="2AA4E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26" w:type="dxa"/>
            <w:tcMar>
              <w:top w:w="60" w:type="dxa"/>
              <w:left w:w="120" w:type="dxa"/>
              <w:bottom w:w="30" w:type="dxa"/>
              <w:right w:w="120" w:type="dxa"/>
            </w:tcMar>
          </w:tcPr>
          <w:p w14:paraId="6D07A030">
            <w:pPr>
              <w:spacing w:before="120" w:after="120" w:line="360" w:lineRule="auto"/>
              <w:jc w:val="center"/>
              <w:rPr>
                <w:rFonts w:hint="eastAsia" w:ascii="宋体" w:hAnsi="宋体" w:eastAsia="宋体"/>
                <w:sz w:val="24"/>
              </w:rPr>
            </w:pPr>
            <w:r>
              <w:rPr>
                <w:rFonts w:ascii="宋体" w:hAnsi="宋体" w:eastAsia="宋体" w:cs="Arial"/>
                <w:sz w:val="24"/>
              </w:rPr>
              <w:t>3</w:t>
            </w:r>
          </w:p>
        </w:tc>
        <w:tc>
          <w:tcPr>
            <w:tcW w:w="1276" w:type="dxa"/>
            <w:tcMar>
              <w:top w:w="60" w:type="dxa"/>
              <w:left w:w="120" w:type="dxa"/>
              <w:bottom w:w="30" w:type="dxa"/>
              <w:right w:w="120" w:type="dxa"/>
            </w:tcMar>
          </w:tcPr>
          <w:p w14:paraId="58993551">
            <w:pPr>
              <w:spacing w:line="360" w:lineRule="auto"/>
              <w:rPr>
                <w:rFonts w:hint="eastAsia" w:ascii="宋体" w:hAnsi="宋体" w:eastAsia="宋体"/>
                <w:sz w:val="24"/>
              </w:rPr>
            </w:pPr>
          </w:p>
        </w:tc>
        <w:tc>
          <w:tcPr>
            <w:tcW w:w="1276" w:type="dxa"/>
            <w:tcMar>
              <w:top w:w="60" w:type="dxa"/>
              <w:left w:w="120" w:type="dxa"/>
              <w:bottom w:w="30" w:type="dxa"/>
              <w:right w:w="120" w:type="dxa"/>
            </w:tcMar>
          </w:tcPr>
          <w:p w14:paraId="089F4337">
            <w:pPr>
              <w:spacing w:line="360" w:lineRule="auto"/>
              <w:rPr>
                <w:rFonts w:hint="eastAsia" w:ascii="宋体" w:hAnsi="宋体" w:eastAsia="宋体"/>
                <w:sz w:val="24"/>
              </w:rPr>
            </w:pPr>
          </w:p>
        </w:tc>
        <w:tc>
          <w:tcPr>
            <w:tcW w:w="992" w:type="dxa"/>
            <w:tcMar>
              <w:top w:w="60" w:type="dxa"/>
              <w:left w:w="120" w:type="dxa"/>
              <w:bottom w:w="30" w:type="dxa"/>
              <w:right w:w="120" w:type="dxa"/>
            </w:tcMar>
          </w:tcPr>
          <w:p w14:paraId="60E23FD6">
            <w:pPr>
              <w:spacing w:line="360" w:lineRule="auto"/>
              <w:rPr>
                <w:rFonts w:hint="eastAsia" w:ascii="宋体" w:hAnsi="宋体" w:eastAsia="宋体"/>
                <w:sz w:val="24"/>
              </w:rPr>
            </w:pPr>
          </w:p>
        </w:tc>
        <w:tc>
          <w:tcPr>
            <w:tcW w:w="1276" w:type="dxa"/>
            <w:tcMar>
              <w:top w:w="60" w:type="dxa"/>
              <w:left w:w="120" w:type="dxa"/>
              <w:bottom w:w="30" w:type="dxa"/>
              <w:right w:w="120" w:type="dxa"/>
            </w:tcMar>
          </w:tcPr>
          <w:p w14:paraId="62B7F10C">
            <w:pPr>
              <w:spacing w:line="360" w:lineRule="auto"/>
              <w:rPr>
                <w:rFonts w:hint="eastAsia" w:ascii="宋体" w:hAnsi="宋体" w:eastAsia="宋体"/>
                <w:sz w:val="24"/>
              </w:rPr>
            </w:pPr>
          </w:p>
        </w:tc>
        <w:tc>
          <w:tcPr>
            <w:tcW w:w="1276" w:type="dxa"/>
            <w:tcMar>
              <w:top w:w="60" w:type="dxa"/>
              <w:left w:w="120" w:type="dxa"/>
              <w:bottom w:w="30" w:type="dxa"/>
              <w:right w:w="120" w:type="dxa"/>
            </w:tcMar>
          </w:tcPr>
          <w:p w14:paraId="45A74050">
            <w:pPr>
              <w:spacing w:line="360" w:lineRule="auto"/>
              <w:rPr>
                <w:rFonts w:hint="eastAsia" w:ascii="宋体" w:hAnsi="宋体" w:eastAsia="宋体"/>
                <w:sz w:val="24"/>
              </w:rPr>
            </w:pPr>
          </w:p>
        </w:tc>
        <w:tc>
          <w:tcPr>
            <w:tcW w:w="1417" w:type="dxa"/>
            <w:tcMar>
              <w:top w:w="60" w:type="dxa"/>
              <w:left w:w="120" w:type="dxa"/>
              <w:bottom w:w="30" w:type="dxa"/>
              <w:right w:w="120" w:type="dxa"/>
            </w:tcMar>
          </w:tcPr>
          <w:p w14:paraId="3C5B0691">
            <w:pPr>
              <w:spacing w:line="360" w:lineRule="auto"/>
              <w:rPr>
                <w:rFonts w:hint="eastAsia" w:ascii="宋体" w:hAnsi="宋体" w:eastAsia="宋体"/>
                <w:sz w:val="24"/>
              </w:rPr>
            </w:pPr>
          </w:p>
        </w:tc>
        <w:tc>
          <w:tcPr>
            <w:tcW w:w="1843" w:type="dxa"/>
            <w:tcMar>
              <w:top w:w="60" w:type="dxa"/>
              <w:left w:w="120" w:type="dxa"/>
              <w:bottom w:w="30" w:type="dxa"/>
              <w:right w:w="120" w:type="dxa"/>
            </w:tcMar>
          </w:tcPr>
          <w:p w14:paraId="0B17C9C9">
            <w:pPr>
              <w:spacing w:line="360" w:lineRule="auto"/>
              <w:rPr>
                <w:rFonts w:hint="eastAsia" w:ascii="宋体" w:hAnsi="宋体" w:eastAsia="宋体"/>
                <w:sz w:val="24"/>
              </w:rPr>
            </w:pPr>
          </w:p>
        </w:tc>
      </w:tr>
      <w:tr w14:paraId="1A236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26" w:type="dxa"/>
            <w:tcMar>
              <w:top w:w="60" w:type="dxa"/>
              <w:left w:w="120" w:type="dxa"/>
              <w:bottom w:w="30" w:type="dxa"/>
              <w:right w:w="120" w:type="dxa"/>
            </w:tcMar>
          </w:tcPr>
          <w:p w14:paraId="1341D9E9">
            <w:pPr>
              <w:spacing w:before="120" w:after="120" w:line="360" w:lineRule="auto"/>
              <w:jc w:val="center"/>
              <w:rPr>
                <w:rFonts w:hint="eastAsia" w:ascii="宋体" w:hAnsi="宋体" w:eastAsia="宋体"/>
                <w:sz w:val="24"/>
              </w:rPr>
            </w:pPr>
            <w:r>
              <w:rPr>
                <w:rFonts w:ascii="宋体" w:hAnsi="宋体" w:eastAsia="宋体" w:cs="Arial"/>
                <w:sz w:val="24"/>
              </w:rPr>
              <w:t>4</w:t>
            </w:r>
          </w:p>
        </w:tc>
        <w:tc>
          <w:tcPr>
            <w:tcW w:w="1276" w:type="dxa"/>
            <w:tcMar>
              <w:top w:w="60" w:type="dxa"/>
              <w:left w:w="120" w:type="dxa"/>
              <w:bottom w:w="30" w:type="dxa"/>
              <w:right w:w="120" w:type="dxa"/>
            </w:tcMar>
          </w:tcPr>
          <w:p w14:paraId="60518BD8">
            <w:pPr>
              <w:spacing w:line="360" w:lineRule="auto"/>
              <w:rPr>
                <w:rFonts w:hint="eastAsia" w:ascii="宋体" w:hAnsi="宋体" w:eastAsia="宋体"/>
                <w:sz w:val="24"/>
              </w:rPr>
            </w:pPr>
          </w:p>
        </w:tc>
        <w:tc>
          <w:tcPr>
            <w:tcW w:w="1276" w:type="dxa"/>
            <w:tcMar>
              <w:top w:w="60" w:type="dxa"/>
              <w:left w:w="120" w:type="dxa"/>
              <w:bottom w:w="30" w:type="dxa"/>
              <w:right w:w="120" w:type="dxa"/>
            </w:tcMar>
          </w:tcPr>
          <w:p w14:paraId="336ED342">
            <w:pPr>
              <w:spacing w:line="360" w:lineRule="auto"/>
              <w:rPr>
                <w:rFonts w:hint="eastAsia" w:ascii="宋体" w:hAnsi="宋体" w:eastAsia="宋体"/>
                <w:sz w:val="24"/>
              </w:rPr>
            </w:pPr>
          </w:p>
        </w:tc>
        <w:tc>
          <w:tcPr>
            <w:tcW w:w="992" w:type="dxa"/>
            <w:tcMar>
              <w:top w:w="60" w:type="dxa"/>
              <w:left w:w="120" w:type="dxa"/>
              <w:bottom w:w="30" w:type="dxa"/>
              <w:right w:w="120" w:type="dxa"/>
            </w:tcMar>
          </w:tcPr>
          <w:p w14:paraId="3DAB5322">
            <w:pPr>
              <w:spacing w:line="360" w:lineRule="auto"/>
              <w:rPr>
                <w:rFonts w:hint="eastAsia" w:ascii="宋体" w:hAnsi="宋体" w:eastAsia="宋体"/>
                <w:sz w:val="24"/>
              </w:rPr>
            </w:pPr>
          </w:p>
        </w:tc>
        <w:tc>
          <w:tcPr>
            <w:tcW w:w="1276" w:type="dxa"/>
            <w:tcMar>
              <w:top w:w="60" w:type="dxa"/>
              <w:left w:w="120" w:type="dxa"/>
              <w:bottom w:w="30" w:type="dxa"/>
              <w:right w:w="120" w:type="dxa"/>
            </w:tcMar>
          </w:tcPr>
          <w:p w14:paraId="70A1161E">
            <w:pPr>
              <w:spacing w:line="360" w:lineRule="auto"/>
              <w:rPr>
                <w:rFonts w:hint="eastAsia" w:ascii="宋体" w:hAnsi="宋体" w:eastAsia="宋体"/>
                <w:sz w:val="24"/>
              </w:rPr>
            </w:pPr>
          </w:p>
        </w:tc>
        <w:tc>
          <w:tcPr>
            <w:tcW w:w="1276" w:type="dxa"/>
            <w:tcMar>
              <w:top w:w="60" w:type="dxa"/>
              <w:left w:w="120" w:type="dxa"/>
              <w:bottom w:w="30" w:type="dxa"/>
              <w:right w:w="120" w:type="dxa"/>
            </w:tcMar>
          </w:tcPr>
          <w:p w14:paraId="6EDA63C6">
            <w:pPr>
              <w:spacing w:line="360" w:lineRule="auto"/>
              <w:rPr>
                <w:rFonts w:hint="eastAsia" w:ascii="宋体" w:hAnsi="宋体" w:eastAsia="宋体"/>
                <w:sz w:val="24"/>
              </w:rPr>
            </w:pPr>
          </w:p>
        </w:tc>
        <w:tc>
          <w:tcPr>
            <w:tcW w:w="1417" w:type="dxa"/>
            <w:tcMar>
              <w:top w:w="60" w:type="dxa"/>
              <w:left w:w="120" w:type="dxa"/>
              <w:bottom w:w="30" w:type="dxa"/>
              <w:right w:w="120" w:type="dxa"/>
            </w:tcMar>
          </w:tcPr>
          <w:p w14:paraId="4B328BE7">
            <w:pPr>
              <w:spacing w:line="360" w:lineRule="auto"/>
              <w:rPr>
                <w:rFonts w:hint="eastAsia" w:ascii="宋体" w:hAnsi="宋体" w:eastAsia="宋体"/>
                <w:sz w:val="24"/>
              </w:rPr>
            </w:pPr>
          </w:p>
        </w:tc>
        <w:tc>
          <w:tcPr>
            <w:tcW w:w="1843" w:type="dxa"/>
            <w:tcMar>
              <w:top w:w="60" w:type="dxa"/>
              <w:left w:w="120" w:type="dxa"/>
              <w:bottom w:w="30" w:type="dxa"/>
              <w:right w:w="120" w:type="dxa"/>
            </w:tcMar>
          </w:tcPr>
          <w:p w14:paraId="6D2E0930">
            <w:pPr>
              <w:spacing w:line="360" w:lineRule="auto"/>
              <w:rPr>
                <w:rFonts w:hint="eastAsia" w:ascii="宋体" w:hAnsi="宋体" w:eastAsia="宋体"/>
                <w:sz w:val="24"/>
              </w:rPr>
            </w:pPr>
          </w:p>
        </w:tc>
      </w:tr>
      <w:tr w14:paraId="223F2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26" w:type="dxa"/>
            <w:tcMar>
              <w:top w:w="60" w:type="dxa"/>
              <w:left w:w="120" w:type="dxa"/>
              <w:bottom w:w="30" w:type="dxa"/>
              <w:right w:w="120" w:type="dxa"/>
            </w:tcMar>
          </w:tcPr>
          <w:p w14:paraId="5A80464C">
            <w:pPr>
              <w:spacing w:before="120" w:after="120" w:line="360" w:lineRule="auto"/>
              <w:jc w:val="center"/>
              <w:rPr>
                <w:rFonts w:hint="eastAsia" w:ascii="宋体" w:hAnsi="宋体" w:eastAsia="宋体"/>
                <w:sz w:val="24"/>
              </w:rPr>
            </w:pPr>
            <w:r>
              <w:rPr>
                <w:rFonts w:ascii="宋体" w:hAnsi="宋体" w:eastAsia="宋体" w:cs="Arial"/>
                <w:sz w:val="24"/>
              </w:rPr>
              <w:t>5</w:t>
            </w:r>
          </w:p>
        </w:tc>
        <w:tc>
          <w:tcPr>
            <w:tcW w:w="1276" w:type="dxa"/>
            <w:tcMar>
              <w:top w:w="60" w:type="dxa"/>
              <w:left w:w="120" w:type="dxa"/>
              <w:bottom w:w="30" w:type="dxa"/>
              <w:right w:w="120" w:type="dxa"/>
            </w:tcMar>
          </w:tcPr>
          <w:p w14:paraId="0615AF46">
            <w:pPr>
              <w:spacing w:line="360" w:lineRule="auto"/>
              <w:rPr>
                <w:rFonts w:hint="eastAsia" w:ascii="宋体" w:hAnsi="宋体" w:eastAsia="宋体"/>
                <w:sz w:val="24"/>
              </w:rPr>
            </w:pPr>
          </w:p>
        </w:tc>
        <w:tc>
          <w:tcPr>
            <w:tcW w:w="1276" w:type="dxa"/>
            <w:tcMar>
              <w:top w:w="60" w:type="dxa"/>
              <w:left w:w="120" w:type="dxa"/>
              <w:bottom w:w="30" w:type="dxa"/>
              <w:right w:w="120" w:type="dxa"/>
            </w:tcMar>
          </w:tcPr>
          <w:p w14:paraId="08F1C5DB">
            <w:pPr>
              <w:spacing w:line="360" w:lineRule="auto"/>
              <w:rPr>
                <w:rFonts w:hint="eastAsia" w:ascii="宋体" w:hAnsi="宋体" w:eastAsia="宋体"/>
                <w:sz w:val="24"/>
              </w:rPr>
            </w:pPr>
          </w:p>
        </w:tc>
        <w:tc>
          <w:tcPr>
            <w:tcW w:w="992" w:type="dxa"/>
            <w:tcMar>
              <w:top w:w="60" w:type="dxa"/>
              <w:left w:w="120" w:type="dxa"/>
              <w:bottom w:w="30" w:type="dxa"/>
              <w:right w:w="120" w:type="dxa"/>
            </w:tcMar>
          </w:tcPr>
          <w:p w14:paraId="3E402997">
            <w:pPr>
              <w:spacing w:line="360" w:lineRule="auto"/>
              <w:rPr>
                <w:rFonts w:hint="eastAsia" w:ascii="宋体" w:hAnsi="宋体" w:eastAsia="宋体"/>
                <w:sz w:val="24"/>
              </w:rPr>
            </w:pPr>
          </w:p>
        </w:tc>
        <w:tc>
          <w:tcPr>
            <w:tcW w:w="1276" w:type="dxa"/>
            <w:tcMar>
              <w:top w:w="60" w:type="dxa"/>
              <w:left w:w="120" w:type="dxa"/>
              <w:bottom w:w="30" w:type="dxa"/>
              <w:right w:w="120" w:type="dxa"/>
            </w:tcMar>
          </w:tcPr>
          <w:p w14:paraId="3E886730">
            <w:pPr>
              <w:spacing w:line="360" w:lineRule="auto"/>
              <w:rPr>
                <w:rFonts w:hint="eastAsia" w:ascii="宋体" w:hAnsi="宋体" w:eastAsia="宋体"/>
                <w:sz w:val="24"/>
              </w:rPr>
            </w:pPr>
          </w:p>
        </w:tc>
        <w:tc>
          <w:tcPr>
            <w:tcW w:w="1276" w:type="dxa"/>
            <w:tcMar>
              <w:top w:w="60" w:type="dxa"/>
              <w:left w:w="120" w:type="dxa"/>
              <w:bottom w:w="30" w:type="dxa"/>
              <w:right w:w="120" w:type="dxa"/>
            </w:tcMar>
          </w:tcPr>
          <w:p w14:paraId="11EB7468">
            <w:pPr>
              <w:spacing w:line="360" w:lineRule="auto"/>
              <w:rPr>
                <w:rFonts w:hint="eastAsia" w:ascii="宋体" w:hAnsi="宋体" w:eastAsia="宋体"/>
                <w:sz w:val="24"/>
              </w:rPr>
            </w:pPr>
          </w:p>
        </w:tc>
        <w:tc>
          <w:tcPr>
            <w:tcW w:w="1417" w:type="dxa"/>
            <w:tcMar>
              <w:top w:w="60" w:type="dxa"/>
              <w:left w:w="120" w:type="dxa"/>
              <w:bottom w:w="30" w:type="dxa"/>
              <w:right w:w="120" w:type="dxa"/>
            </w:tcMar>
          </w:tcPr>
          <w:p w14:paraId="10DD76B3">
            <w:pPr>
              <w:spacing w:line="360" w:lineRule="auto"/>
              <w:rPr>
                <w:rFonts w:hint="eastAsia" w:ascii="宋体" w:hAnsi="宋体" w:eastAsia="宋体"/>
                <w:sz w:val="24"/>
              </w:rPr>
            </w:pPr>
          </w:p>
        </w:tc>
        <w:tc>
          <w:tcPr>
            <w:tcW w:w="1843" w:type="dxa"/>
            <w:tcMar>
              <w:top w:w="60" w:type="dxa"/>
              <w:left w:w="120" w:type="dxa"/>
              <w:bottom w:w="30" w:type="dxa"/>
              <w:right w:w="120" w:type="dxa"/>
            </w:tcMar>
          </w:tcPr>
          <w:p w14:paraId="1B1F7E5B">
            <w:pPr>
              <w:spacing w:line="360" w:lineRule="auto"/>
              <w:rPr>
                <w:rFonts w:hint="eastAsia" w:ascii="宋体" w:hAnsi="宋体" w:eastAsia="宋体"/>
                <w:sz w:val="24"/>
              </w:rPr>
            </w:pPr>
          </w:p>
        </w:tc>
      </w:tr>
    </w:tbl>
    <w:p w14:paraId="6CD1676F">
      <w:pPr>
        <w:spacing w:before="120" w:after="120" w:line="360" w:lineRule="auto"/>
        <w:ind w:firstLine="482" w:firstLineChars="200"/>
        <w:rPr>
          <w:rFonts w:hint="eastAsia" w:ascii="宋体" w:hAnsi="宋体" w:eastAsia="宋体"/>
          <w:sz w:val="24"/>
        </w:rPr>
      </w:pPr>
      <w:r>
        <w:rPr>
          <w:rFonts w:ascii="宋体" w:hAnsi="宋体" w:eastAsia="宋体" w:cs="Arial"/>
          <w:b/>
          <w:sz w:val="24"/>
        </w:rPr>
        <w:t>备注</w:t>
      </w:r>
      <w:r>
        <w:rPr>
          <w:rFonts w:ascii="宋体" w:hAnsi="宋体" w:eastAsia="宋体" w:cs="Arial"/>
          <w:sz w:val="24"/>
        </w:rPr>
        <w:t>：须附对应合同关键页复印件，否则该业绩不计分。</w:t>
      </w:r>
    </w:p>
    <w:p w14:paraId="387A1013">
      <w:pPr>
        <w:spacing w:before="120" w:after="120" w:line="360" w:lineRule="auto"/>
        <w:ind w:firstLine="480" w:firstLineChars="200"/>
        <w:jc w:val="right"/>
        <w:rPr>
          <w:rFonts w:hint="eastAsia" w:ascii="宋体" w:hAnsi="宋体" w:eastAsia="宋体"/>
          <w:sz w:val="24"/>
        </w:rPr>
      </w:pPr>
      <w:r>
        <w:rPr>
          <w:rFonts w:ascii="宋体" w:hAnsi="宋体" w:eastAsia="宋体" w:cs="Arial"/>
          <w:sz w:val="24"/>
        </w:rPr>
        <w:t>供应商（加盖公章）：________________________</w:t>
      </w:r>
    </w:p>
    <w:p w14:paraId="3DC78165">
      <w:pPr>
        <w:spacing w:before="120" w:after="120" w:line="360" w:lineRule="auto"/>
        <w:ind w:firstLine="480" w:firstLineChars="200"/>
        <w:jc w:val="right"/>
        <w:rPr>
          <w:rFonts w:hint="eastAsia" w:ascii="宋体" w:hAnsi="宋体" w:eastAsia="宋体"/>
          <w:sz w:val="24"/>
        </w:rPr>
      </w:pPr>
      <w:r>
        <w:rPr>
          <w:rFonts w:ascii="宋体" w:hAnsi="宋体" w:eastAsia="宋体" w:cs="Arial"/>
          <w:sz w:val="24"/>
        </w:rPr>
        <w:t>日    期：____年____月____日</w:t>
      </w:r>
    </w:p>
    <w:p w14:paraId="29BBC706">
      <w:pPr>
        <w:spacing w:before="320" w:after="120" w:line="360" w:lineRule="auto"/>
        <w:outlineLvl w:val="1"/>
        <w:rPr>
          <w:rFonts w:hint="eastAsia" w:ascii="宋体" w:hAnsi="宋体" w:eastAsia="宋体" w:cs="Arial"/>
          <w:b/>
          <w:sz w:val="24"/>
        </w:rPr>
      </w:pPr>
      <w:bookmarkStart w:id="55" w:name="heading_44"/>
      <w:r>
        <w:rPr>
          <w:rFonts w:ascii="宋体" w:hAnsi="宋体" w:eastAsia="宋体" w:cs="Arial"/>
          <w:b/>
          <w:sz w:val="24"/>
        </w:rPr>
        <w:t>附件</w:t>
      </w:r>
      <w:r>
        <w:rPr>
          <w:rFonts w:hint="eastAsia" w:ascii="宋体" w:hAnsi="宋体" w:eastAsia="宋体" w:cs="Arial"/>
          <w:b/>
          <w:sz w:val="24"/>
        </w:rPr>
        <w:t>4</w:t>
      </w:r>
      <w:r>
        <w:rPr>
          <w:rFonts w:ascii="宋体" w:hAnsi="宋体" w:eastAsia="宋体" w:cs="Arial"/>
          <w:b/>
          <w:sz w:val="24"/>
        </w:rPr>
        <w:t xml:space="preserve"> 投标样板明细表</w:t>
      </w:r>
      <w:bookmarkEnd w:id="55"/>
    </w:p>
    <w:p w14:paraId="23CF0806">
      <w:pPr>
        <w:spacing w:before="120" w:after="120" w:line="360" w:lineRule="auto"/>
        <w:jc w:val="both"/>
        <w:rPr>
          <w:rFonts w:hint="eastAsia" w:ascii="宋体" w:hAnsi="宋体" w:eastAsia="宋体" w:cs="Arial"/>
          <w:b/>
          <w:sz w:val="24"/>
        </w:rPr>
      </w:pPr>
      <w:r>
        <w:rPr>
          <w:rFonts w:ascii="宋体" w:hAnsi="宋体" w:eastAsia="宋体" w:cs="Arial"/>
          <w:b/>
          <w:color w:val="0D0D0D" w:themeColor="text1" w:themeTint="F2"/>
          <w:sz w:val="24"/>
          <w14:textFill>
            <w14:solidFill>
              <w14:schemeClr w14:val="tx1">
                <w14:lumMod w14:val="95000"/>
                <w14:lumOff w14:val="5000"/>
              </w14:schemeClr>
            </w14:solidFill>
          </w14:textFill>
        </w:rPr>
        <w:t>响应子包</w:t>
      </w:r>
      <w:r>
        <w:rPr>
          <w:rFonts w:ascii="宋体" w:hAnsi="宋体" w:eastAsia="宋体" w:cs="Arial"/>
          <w:color w:val="0D0D0D" w:themeColor="text1" w:themeTint="F2"/>
          <w:sz w:val="24"/>
          <w14:textFill>
            <w14:solidFill>
              <w14:schemeClr w14:val="tx1">
                <w14:lumMod w14:val="95000"/>
                <w14:lumOff w14:val="5000"/>
              </w14:schemeClr>
            </w14:solidFill>
          </w14:textFill>
        </w:rPr>
        <w:t xml:space="preserve">：□子包一  □子包二  </w:t>
      </w:r>
    </w:p>
    <w:tbl>
      <w:tblPr>
        <w:tblStyle w:val="8"/>
        <w:tblW w:w="9549" w:type="dxa"/>
        <w:tblInd w:w="-5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851"/>
        <w:gridCol w:w="1276"/>
        <w:gridCol w:w="1275"/>
        <w:gridCol w:w="1185"/>
        <w:gridCol w:w="1497"/>
        <w:gridCol w:w="2280"/>
        <w:gridCol w:w="1185"/>
      </w:tblGrid>
      <w:tr w14:paraId="2252E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51" w:type="dxa"/>
            <w:tcMar>
              <w:top w:w="60" w:type="dxa"/>
              <w:left w:w="120" w:type="dxa"/>
              <w:bottom w:w="30" w:type="dxa"/>
              <w:right w:w="120" w:type="dxa"/>
            </w:tcMar>
          </w:tcPr>
          <w:p w14:paraId="587395A9">
            <w:pPr>
              <w:spacing w:before="120" w:after="120" w:line="360" w:lineRule="auto"/>
              <w:jc w:val="center"/>
              <w:rPr>
                <w:rFonts w:hint="eastAsia" w:ascii="宋体" w:hAnsi="宋体" w:eastAsia="宋体"/>
                <w:sz w:val="24"/>
              </w:rPr>
            </w:pPr>
            <w:r>
              <w:rPr>
                <w:rFonts w:ascii="宋体" w:hAnsi="宋体" w:eastAsia="宋体" w:cs="Arial"/>
                <w:sz w:val="24"/>
              </w:rPr>
              <w:t>序号</w:t>
            </w:r>
          </w:p>
        </w:tc>
        <w:tc>
          <w:tcPr>
            <w:tcW w:w="1276" w:type="dxa"/>
            <w:tcMar>
              <w:top w:w="60" w:type="dxa"/>
              <w:left w:w="120" w:type="dxa"/>
              <w:bottom w:w="30" w:type="dxa"/>
              <w:right w:w="120" w:type="dxa"/>
            </w:tcMar>
          </w:tcPr>
          <w:p w14:paraId="6541592C">
            <w:pPr>
              <w:spacing w:before="120" w:after="120" w:line="360" w:lineRule="auto"/>
              <w:jc w:val="center"/>
              <w:rPr>
                <w:rFonts w:hint="eastAsia" w:ascii="宋体" w:hAnsi="宋体" w:eastAsia="宋体"/>
                <w:sz w:val="24"/>
              </w:rPr>
            </w:pPr>
            <w:r>
              <w:rPr>
                <w:rFonts w:ascii="宋体" w:hAnsi="宋体" w:eastAsia="宋体" w:cs="Arial"/>
                <w:sz w:val="24"/>
              </w:rPr>
              <w:t>商品名称</w:t>
            </w:r>
          </w:p>
        </w:tc>
        <w:tc>
          <w:tcPr>
            <w:tcW w:w="1275" w:type="dxa"/>
            <w:tcMar>
              <w:top w:w="60" w:type="dxa"/>
              <w:left w:w="120" w:type="dxa"/>
              <w:bottom w:w="30" w:type="dxa"/>
              <w:right w:w="120" w:type="dxa"/>
            </w:tcMar>
          </w:tcPr>
          <w:p w14:paraId="1706D297">
            <w:pPr>
              <w:spacing w:before="120" w:after="120" w:line="360" w:lineRule="auto"/>
              <w:jc w:val="center"/>
              <w:rPr>
                <w:rFonts w:hint="eastAsia" w:ascii="宋体" w:hAnsi="宋体" w:eastAsia="宋体"/>
                <w:sz w:val="24"/>
              </w:rPr>
            </w:pPr>
            <w:r>
              <w:rPr>
                <w:rFonts w:ascii="宋体" w:hAnsi="宋体" w:eastAsia="宋体" w:cs="Arial"/>
                <w:sz w:val="24"/>
              </w:rPr>
              <w:t>规格型号</w:t>
            </w:r>
          </w:p>
        </w:tc>
        <w:tc>
          <w:tcPr>
            <w:tcW w:w="1185" w:type="dxa"/>
            <w:tcMar>
              <w:top w:w="60" w:type="dxa"/>
              <w:left w:w="120" w:type="dxa"/>
              <w:bottom w:w="30" w:type="dxa"/>
              <w:right w:w="120" w:type="dxa"/>
            </w:tcMar>
          </w:tcPr>
          <w:p w14:paraId="7BC9AA04">
            <w:pPr>
              <w:spacing w:before="120" w:after="120" w:line="360" w:lineRule="auto"/>
              <w:jc w:val="center"/>
              <w:rPr>
                <w:rFonts w:hint="eastAsia" w:ascii="宋体" w:hAnsi="宋体" w:eastAsia="宋体"/>
                <w:sz w:val="24"/>
              </w:rPr>
            </w:pPr>
            <w:r>
              <w:rPr>
                <w:rFonts w:ascii="宋体" w:hAnsi="宋体" w:eastAsia="宋体" w:cs="Arial"/>
                <w:sz w:val="24"/>
              </w:rPr>
              <w:t>单位</w:t>
            </w:r>
          </w:p>
        </w:tc>
        <w:tc>
          <w:tcPr>
            <w:tcW w:w="1497" w:type="dxa"/>
            <w:tcMar>
              <w:top w:w="60" w:type="dxa"/>
              <w:left w:w="120" w:type="dxa"/>
              <w:bottom w:w="30" w:type="dxa"/>
              <w:right w:w="120" w:type="dxa"/>
            </w:tcMar>
          </w:tcPr>
          <w:p w14:paraId="028C6061">
            <w:pPr>
              <w:spacing w:before="120" w:after="120" w:line="360" w:lineRule="auto"/>
              <w:jc w:val="center"/>
              <w:rPr>
                <w:rFonts w:hint="eastAsia" w:ascii="宋体" w:hAnsi="宋体" w:eastAsia="宋体"/>
                <w:sz w:val="24"/>
              </w:rPr>
            </w:pPr>
            <w:r>
              <w:rPr>
                <w:rFonts w:ascii="宋体" w:hAnsi="宋体" w:eastAsia="宋体" w:cs="Arial"/>
                <w:sz w:val="24"/>
              </w:rPr>
              <w:t>样板数量</w:t>
            </w:r>
          </w:p>
        </w:tc>
        <w:tc>
          <w:tcPr>
            <w:tcW w:w="2280" w:type="dxa"/>
            <w:tcMar>
              <w:top w:w="60" w:type="dxa"/>
              <w:left w:w="120" w:type="dxa"/>
              <w:bottom w:w="30" w:type="dxa"/>
              <w:right w:w="120" w:type="dxa"/>
            </w:tcMar>
          </w:tcPr>
          <w:p w14:paraId="5E5A25B4">
            <w:pPr>
              <w:spacing w:before="120" w:after="120" w:line="360" w:lineRule="auto"/>
              <w:jc w:val="center"/>
              <w:rPr>
                <w:rFonts w:hint="eastAsia" w:ascii="宋体" w:hAnsi="宋体" w:eastAsia="宋体"/>
                <w:sz w:val="24"/>
              </w:rPr>
            </w:pPr>
            <w:r>
              <w:rPr>
                <w:rFonts w:ascii="宋体" w:hAnsi="宋体" w:eastAsia="宋体" w:cs="Arial"/>
                <w:sz w:val="24"/>
              </w:rPr>
              <w:t>是否符合采购要求</w:t>
            </w:r>
          </w:p>
        </w:tc>
        <w:tc>
          <w:tcPr>
            <w:tcW w:w="1185" w:type="dxa"/>
            <w:tcMar>
              <w:top w:w="60" w:type="dxa"/>
              <w:left w:w="120" w:type="dxa"/>
              <w:bottom w:w="30" w:type="dxa"/>
              <w:right w:w="120" w:type="dxa"/>
            </w:tcMar>
          </w:tcPr>
          <w:p w14:paraId="43655AA3">
            <w:pPr>
              <w:spacing w:before="120" w:after="120" w:line="360" w:lineRule="auto"/>
              <w:jc w:val="center"/>
              <w:rPr>
                <w:rFonts w:hint="eastAsia" w:ascii="宋体" w:hAnsi="宋体" w:eastAsia="宋体"/>
                <w:sz w:val="24"/>
              </w:rPr>
            </w:pPr>
            <w:r>
              <w:rPr>
                <w:rFonts w:ascii="宋体" w:hAnsi="宋体" w:eastAsia="宋体" w:cs="Arial"/>
                <w:sz w:val="24"/>
              </w:rPr>
              <w:t>备注</w:t>
            </w:r>
          </w:p>
        </w:tc>
      </w:tr>
      <w:tr w14:paraId="7C427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51" w:type="dxa"/>
            <w:tcMar>
              <w:top w:w="60" w:type="dxa"/>
              <w:left w:w="120" w:type="dxa"/>
              <w:bottom w:w="30" w:type="dxa"/>
              <w:right w:w="120" w:type="dxa"/>
            </w:tcMar>
          </w:tcPr>
          <w:p w14:paraId="626BD3CD">
            <w:pPr>
              <w:spacing w:before="120" w:after="120" w:line="360" w:lineRule="auto"/>
              <w:jc w:val="center"/>
              <w:rPr>
                <w:rFonts w:hint="eastAsia" w:ascii="宋体" w:hAnsi="宋体" w:eastAsia="宋体"/>
                <w:sz w:val="24"/>
              </w:rPr>
            </w:pPr>
            <w:r>
              <w:rPr>
                <w:rFonts w:ascii="宋体" w:hAnsi="宋体" w:eastAsia="宋体" w:cs="Arial"/>
                <w:sz w:val="24"/>
              </w:rPr>
              <w:t>1</w:t>
            </w:r>
          </w:p>
        </w:tc>
        <w:tc>
          <w:tcPr>
            <w:tcW w:w="1276" w:type="dxa"/>
            <w:tcMar>
              <w:top w:w="60" w:type="dxa"/>
              <w:left w:w="120" w:type="dxa"/>
              <w:bottom w:w="30" w:type="dxa"/>
              <w:right w:w="120" w:type="dxa"/>
            </w:tcMar>
          </w:tcPr>
          <w:p w14:paraId="5DA951D0">
            <w:pPr>
              <w:spacing w:line="360" w:lineRule="auto"/>
              <w:rPr>
                <w:rFonts w:hint="eastAsia" w:ascii="宋体" w:hAnsi="宋体" w:eastAsia="宋体"/>
                <w:sz w:val="24"/>
              </w:rPr>
            </w:pPr>
          </w:p>
        </w:tc>
        <w:tc>
          <w:tcPr>
            <w:tcW w:w="1275" w:type="dxa"/>
            <w:tcMar>
              <w:top w:w="60" w:type="dxa"/>
              <w:left w:w="120" w:type="dxa"/>
              <w:bottom w:w="30" w:type="dxa"/>
              <w:right w:w="120" w:type="dxa"/>
            </w:tcMar>
          </w:tcPr>
          <w:p w14:paraId="43B47972">
            <w:pPr>
              <w:spacing w:line="360" w:lineRule="auto"/>
              <w:rPr>
                <w:rFonts w:hint="eastAsia" w:ascii="宋体" w:hAnsi="宋体" w:eastAsia="宋体"/>
                <w:sz w:val="24"/>
              </w:rPr>
            </w:pPr>
          </w:p>
        </w:tc>
        <w:tc>
          <w:tcPr>
            <w:tcW w:w="1185" w:type="dxa"/>
            <w:tcMar>
              <w:top w:w="60" w:type="dxa"/>
              <w:left w:w="120" w:type="dxa"/>
              <w:bottom w:w="30" w:type="dxa"/>
              <w:right w:w="120" w:type="dxa"/>
            </w:tcMar>
          </w:tcPr>
          <w:p w14:paraId="7DA3DEEE">
            <w:pPr>
              <w:spacing w:line="360" w:lineRule="auto"/>
              <w:rPr>
                <w:rFonts w:hint="eastAsia" w:ascii="宋体" w:hAnsi="宋体" w:eastAsia="宋体"/>
                <w:sz w:val="24"/>
              </w:rPr>
            </w:pPr>
          </w:p>
        </w:tc>
        <w:tc>
          <w:tcPr>
            <w:tcW w:w="1497" w:type="dxa"/>
            <w:tcMar>
              <w:top w:w="60" w:type="dxa"/>
              <w:left w:w="120" w:type="dxa"/>
              <w:bottom w:w="30" w:type="dxa"/>
              <w:right w:w="120" w:type="dxa"/>
            </w:tcMar>
          </w:tcPr>
          <w:p w14:paraId="12AC4C78">
            <w:pPr>
              <w:spacing w:line="360" w:lineRule="auto"/>
              <w:rPr>
                <w:rFonts w:hint="eastAsia" w:ascii="宋体" w:hAnsi="宋体" w:eastAsia="宋体"/>
                <w:sz w:val="24"/>
              </w:rPr>
            </w:pPr>
          </w:p>
        </w:tc>
        <w:tc>
          <w:tcPr>
            <w:tcW w:w="2280" w:type="dxa"/>
            <w:tcMar>
              <w:top w:w="60" w:type="dxa"/>
              <w:left w:w="120" w:type="dxa"/>
              <w:bottom w:w="30" w:type="dxa"/>
              <w:right w:w="120" w:type="dxa"/>
            </w:tcMar>
          </w:tcPr>
          <w:p w14:paraId="76FE62BE">
            <w:pPr>
              <w:spacing w:line="360" w:lineRule="auto"/>
              <w:rPr>
                <w:rFonts w:hint="eastAsia" w:ascii="宋体" w:hAnsi="宋体" w:eastAsia="宋体"/>
                <w:sz w:val="24"/>
              </w:rPr>
            </w:pPr>
          </w:p>
        </w:tc>
        <w:tc>
          <w:tcPr>
            <w:tcW w:w="1185" w:type="dxa"/>
            <w:tcMar>
              <w:top w:w="60" w:type="dxa"/>
              <w:left w:w="120" w:type="dxa"/>
              <w:bottom w:w="30" w:type="dxa"/>
              <w:right w:w="120" w:type="dxa"/>
            </w:tcMar>
          </w:tcPr>
          <w:p w14:paraId="181F1A59">
            <w:pPr>
              <w:spacing w:line="360" w:lineRule="auto"/>
              <w:rPr>
                <w:rFonts w:hint="eastAsia" w:ascii="宋体" w:hAnsi="宋体" w:eastAsia="宋体"/>
                <w:sz w:val="24"/>
              </w:rPr>
            </w:pPr>
          </w:p>
        </w:tc>
      </w:tr>
      <w:tr w14:paraId="07275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51" w:type="dxa"/>
            <w:tcMar>
              <w:top w:w="60" w:type="dxa"/>
              <w:left w:w="120" w:type="dxa"/>
              <w:bottom w:w="30" w:type="dxa"/>
              <w:right w:w="120" w:type="dxa"/>
            </w:tcMar>
          </w:tcPr>
          <w:p w14:paraId="1DD982C5">
            <w:pPr>
              <w:spacing w:before="120" w:after="120" w:line="360" w:lineRule="auto"/>
              <w:jc w:val="center"/>
              <w:rPr>
                <w:rFonts w:hint="eastAsia" w:ascii="宋体" w:hAnsi="宋体" w:eastAsia="宋体"/>
                <w:sz w:val="24"/>
              </w:rPr>
            </w:pPr>
            <w:r>
              <w:rPr>
                <w:rFonts w:ascii="宋体" w:hAnsi="宋体" w:eastAsia="宋体" w:cs="Arial"/>
                <w:sz w:val="24"/>
              </w:rPr>
              <w:t>2</w:t>
            </w:r>
          </w:p>
        </w:tc>
        <w:tc>
          <w:tcPr>
            <w:tcW w:w="1276" w:type="dxa"/>
            <w:tcMar>
              <w:top w:w="60" w:type="dxa"/>
              <w:left w:w="120" w:type="dxa"/>
              <w:bottom w:w="30" w:type="dxa"/>
              <w:right w:w="120" w:type="dxa"/>
            </w:tcMar>
          </w:tcPr>
          <w:p w14:paraId="3C7A82ED">
            <w:pPr>
              <w:spacing w:line="360" w:lineRule="auto"/>
              <w:rPr>
                <w:rFonts w:hint="eastAsia" w:ascii="宋体" w:hAnsi="宋体" w:eastAsia="宋体"/>
                <w:sz w:val="24"/>
              </w:rPr>
            </w:pPr>
          </w:p>
        </w:tc>
        <w:tc>
          <w:tcPr>
            <w:tcW w:w="1275" w:type="dxa"/>
            <w:tcMar>
              <w:top w:w="60" w:type="dxa"/>
              <w:left w:w="120" w:type="dxa"/>
              <w:bottom w:w="30" w:type="dxa"/>
              <w:right w:w="120" w:type="dxa"/>
            </w:tcMar>
          </w:tcPr>
          <w:p w14:paraId="42FDA340">
            <w:pPr>
              <w:spacing w:line="360" w:lineRule="auto"/>
              <w:rPr>
                <w:rFonts w:hint="eastAsia" w:ascii="宋体" w:hAnsi="宋体" w:eastAsia="宋体"/>
                <w:sz w:val="24"/>
              </w:rPr>
            </w:pPr>
          </w:p>
        </w:tc>
        <w:tc>
          <w:tcPr>
            <w:tcW w:w="1185" w:type="dxa"/>
            <w:tcMar>
              <w:top w:w="60" w:type="dxa"/>
              <w:left w:w="120" w:type="dxa"/>
              <w:bottom w:w="30" w:type="dxa"/>
              <w:right w:w="120" w:type="dxa"/>
            </w:tcMar>
          </w:tcPr>
          <w:p w14:paraId="176CB055">
            <w:pPr>
              <w:spacing w:line="360" w:lineRule="auto"/>
              <w:rPr>
                <w:rFonts w:hint="eastAsia" w:ascii="宋体" w:hAnsi="宋体" w:eastAsia="宋体"/>
                <w:sz w:val="24"/>
              </w:rPr>
            </w:pPr>
          </w:p>
        </w:tc>
        <w:tc>
          <w:tcPr>
            <w:tcW w:w="1497" w:type="dxa"/>
            <w:tcMar>
              <w:top w:w="60" w:type="dxa"/>
              <w:left w:w="120" w:type="dxa"/>
              <w:bottom w:w="30" w:type="dxa"/>
              <w:right w:w="120" w:type="dxa"/>
            </w:tcMar>
          </w:tcPr>
          <w:p w14:paraId="3FB57DCD">
            <w:pPr>
              <w:spacing w:line="360" w:lineRule="auto"/>
              <w:rPr>
                <w:rFonts w:hint="eastAsia" w:ascii="宋体" w:hAnsi="宋体" w:eastAsia="宋体"/>
                <w:sz w:val="24"/>
              </w:rPr>
            </w:pPr>
          </w:p>
        </w:tc>
        <w:tc>
          <w:tcPr>
            <w:tcW w:w="2280" w:type="dxa"/>
            <w:tcMar>
              <w:top w:w="60" w:type="dxa"/>
              <w:left w:w="120" w:type="dxa"/>
              <w:bottom w:w="30" w:type="dxa"/>
              <w:right w:w="120" w:type="dxa"/>
            </w:tcMar>
          </w:tcPr>
          <w:p w14:paraId="30A801E8">
            <w:pPr>
              <w:spacing w:line="360" w:lineRule="auto"/>
              <w:rPr>
                <w:rFonts w:hint="eastAsia" w:ascii="宋体" w:hAnsi="宋体" w:eastAsia="宋体"/>
                <w:sz w:val="24"/>
              </w:rPr>
            </w:pPr>
          </w:p>
        </w:tc>
        <w:tc>
          <w:tcPr>
            <w:tcW w:w="1185" w:type="dxa"/>
            <w:tcMar>
              <w:top w:w="60" w:type="dxa"/>
              <w:left w:w="120" w:type="dxa"/>
              <w:bottom w:w="30" w:type="dxa"/>
              <w:right w:w="120" w:type="dxa"/>
            </w:tcMar>
          </w:tcPr>
          <w:p w14:paraId="385DF25B">
            <w:pPr>
              <w:spacing w:line="360" w:lineRule="auto"/>
              <w:rPr>
                <w:rFonts w:hint="eastAsia" w:ascii="宋体" w:hAnsi="宋体" w:eastAsia="宋体"/>
                <w:sz w:val="24"/>
              </w:rPr>
            </w:pPr>
          </w:p>
        </w:tc>
      </w:tr>
      <w:tr w14:paraId="263FC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51" w:type="dxa"/>
            <w:tcMar>
              <w:top w:w="60" w:type="dxa"/>
              <w:left w:w="120" w:type="dxa"/>
              <w:bottom w:w="30" w:type="dxa"/>
              <w:right w:w="120" w:type="dxa"/>
            </w:tcMar>
          </w:tcPr>
          <w:p w14:paraId="0AF73602">
            <w:pPr>
              <w:spacing w:before="120" w:after="120" w:line="360" w:lineRule="auto"/>
              <w:jc w:val="center"/>
              <w:rPr>
                <w:rFonts w:hint="eastAsia" w:ascii="宋体" w:hAnsi="宋体" w:eastAsia="宋体"/>
                <w:sz w:val="24"/>
              </w:rPr>
            </w:pPr>
            <w:r>
              <w:rPr>
                <w:rFonts w:ascii="宋体" w:hAnsi="宋体" w:eastAsia="宋体" w:cs="Arial"/>
                <w:sz w:val="24"/>
              </w:rPr>
              <w:t>3</w:t>
            </w:r>
          </w:p>
        </w:tc>
        <w:tc>
          <w:tcPr>
            <w:tcW w:w="1276" w:type="dxa"/>
            <w:tcMar>
              <w:top w:w="60" w:type="dxa"/>
              <w:left w:w="120" w:type="dxa"/>
              <w:bottom w:w="30" w:type="dxa"/>
              <w:right w:w="120" w:type="dxa"/>
            </w:tcMar>
          </w:tcPr>
          <w:p w14:paraId="48DFB37B">
            <w:pPr>
              <w:spacing w:line="360" w:lineRule="auto"/>
              <w:rPr>
                <w:rFonts w:hint="eastAsia" w:ascii="宋体" w:hAnsi="宋体" w:eastAsia="宋体"/>
                <w:sz w:val="24"/>
              </w:rPr>
            </w:pPr>
          </w:p>
        </w:tc>
        <w:tc>
          <w:tcPr>
            <w:tcW w:w="1275" w:type="dxa"/>
            <w:tcMar>
              <w:top w:w="60" w:type="dxa"/>
              <w:left w:w="120" w:type="dxa"/>
              <w:bottom w:w="30" w:type="dxa"/>
              <w:right w:w="120" w:type="dxa"/>
            </w:tcMar>
          </w:tcPr>
          <w:p w14:paraId="48F55DD5">
            <w:pPr>
              <w:spacing w:line="360" w:lineRule="auto"/>
              <w:rPr>
                <w:rFonts w:hint="eastAsia" w:ascii="宋体" w:hAnsi="宋体" w:eastAsia="宋体"/>
                <w:sz w:val="24"/>
              </w:rPr>
            </w:pPr>
          </w:p>
        </w:tc>
        <w:tc>
          <w:tcPr>
            <w:tcW w:w="1185" w:type="dxa"/>
            <w:tcMar>
              <w:top w:w="60" w:type="dxa"/>
              <w:left w:w="120" w:type="dxa"/>
              <w:bottom w:w="30" w:type="dxa"/>
              <w:right w:w="120" w:type="dxa"/>
            </w:tcMar>
          </w:tcPr>
          <w:p w14:paraId="081DA0A7">
            <w:pPr>
              <w:spacing w:line="360" w:lineRule="auto"/>
              <w:rPr>
                <w:rFonts w:hint="eastAsia" w:ascii="宋体" w:hAnsi="宋体" w:eastAsia="宋体"/>
                <w:sz w:val="24"/>
              </w:rPr>
            </w:pPr>
          </w:p>
        </w:tc>
        <w:tc>
          <w:tcPr>
            <w:tcW w:w="1497" w:type="dxa"/>
            <w:tcMar>
              <w:top w:w="60" w:type="dxa"/>
              <w:left w:w="120" w:type="dxa"/>
              <w:bottom w:w="30" w:type="dxa"/>
              <w:right w:w="120" w:type="dxa"/>
            </w:tcMar>
          </w:tcPr>
          <w:p w14:paraId="73A8EC33">
            <w:pPr>
              <w:spacing w:line="360" w:lineRule="auto"/>
              <w:rPr>
                <w:rFonts w:hint="eastAsia" w:ascii="宋体" w:hAnsi="宋体" w:eastAsia="宋体"/>
                <w:sz w:val="24"/>
              </w:rPr>
            </w:pPr>
          </w:p>
        </w:tc>
        <w:tc>
          <w:tcPr>
            <w:tcW w:w="2280" w:type="dxa"/>
            <w:tcMar>
              <w:top w:w="60" w:type="dxa"/>
              <w:left w:w="120" w:type="dxa"/>
              <w:bottom w:w="30" w:type="dxa"/>
              <w:right w:w="120" w:type="dxa"/>
            </w:tcMar>
          </w:tcPr>
          <w:p w14:paraId="327A4FF2">
            <w:pPr>
              <w:spacing w:line="360" w:lineRule="auto"/>
              <w:rPr>
                <w:rFonts w:hint="eastAsia" w:ascii="宋体" w:hAnsi="宋体" w:eastAsia="宋体"/>
                <w:sz w:val="24"/>
              </w:rPr>
            </w:pPr>
          </w:p>
        </w:tc>
        <w:tc>
          <w:tcPr>
            <w:tcW w:w="1185" w:type="dxa"/>
            <w:tcMar>
              <w:top w:w="60" w:type="dxa"/>
              <w:left w:w="120" w:type="dxa"/>
              <w:bottom w:w="30" w:type="dxa"/>
              <w:right w:w="120" w:type="dxa"/>
            </w:tcMar>
          </w:tcPr>
          <w:p w14:paraId="1959D4A7">
            <w:pPr>
              <w:spacing w:line="360" w:lineRule="auto"/>
              <w:rPr>
                <w:rFonts w:hint="eastAsia" w:ascii="宋体" w:hAnsi="宋体" w:eastAsia="宋体"/>
                <w:sz w:val="24"/>
              </w:rPr>
            </w:pPr>
          </w:p>
        </w:tc>
      </w:tr>
      <w:tr w14:paraId="2D9C6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51" w:type="dxa"/>
            <w:tcMar>
              <w:top w:w="60" w:type="dxa"/>
              <w:left w:w="120" w:type="dxa"/>
              <w:bottom w:w="30" w:type="dxa"/>
              <w:right w:w="120" w:type="dxa"/>
            </w:tcMar>
          </w:tcPr>
          <w:p w14:paraId="77C473B8">
            <w:pPr>
              <w:spacing w:before="120" w:after="120" w:line="360" w:lineRule="auto"/>
              <w:jc w:val="center"/>
              <w:rPr>
                <w:rFonts w:hint="eastAsia" w:ascii="宋体" w:hAnsi="宋体" w:eastAsia="宋体"/>
                <w:sz w:val="24"/>
              </w:rPr>
            </w:pPr>
            <w:r>
              <w:rPr>
                <w:rFonts w:ascii="宋体" w:hAnsi="宋体" w:eastAsia="宋体" w:cs="Arial"/>
                <w:sz w:val="24"/>
              </w:rPr>
              <w:t>4</w:t>
            </w:r>
          </w:p>
        </w:tc>
        <w:tc>
          <w:tcPr>
            <w:tcW w:w="1276" w:type="dxa"/>
            <w:tcMar>
              <w:top w:w="60" w:type="dxa"/>
              <w:left w:w="120" w:type="dxa"/>
              <w:bottom w:w="30" w:type="dxa"/>
              <w:right w:w="120" w:type="dxa"/>
            </w:tcMar>
          </w:tcPr>
          <w:p w14:paraId="469861EA">
            <w:pPr>
              <w:spacing w:line="360" w:lineRule="auto"/>
              <w:rPr>
                <w:rFonts w:hint="eastAsia" w:ascii="宋体" w:hAnsi="宋体" w:eastAsia="宋体"/>
                <w:sz w:val="24"/>
              </w:rPr>
            </w:pPr>
          </w:p>
        </w:tc>
        <w:tc>
          <w:tcPr>
            <w:tcW w:w="1275" w:type="dxa"/>
            <w:tcMar>
              <w:top w:w="60" w:type="dxa"/>
              <w:left w:w="120" w:type="dxa"/>
              <w:bottom w:w="30" w:type="dxa"/>
              <w:right w:w="120" w:type="dxa"/>
            </w:tcMar>
          </w:tcPr>
          <w:p w14:paraId="5EF12273">
            <w:pPr>
              <w:spacing w:line="360" w:lineRule="auto"/>
              <w:rPr>
                <w:rFonts w:hint="eastAsia" w:ascii="宋体" w:hAnsi="宋体" w:eastAsia="宋体"/>
                <w:sz w:val="24"/>
              </w:rPr>
            </w:pPr>
          </w:p>
        </w:tc>
        <w:tc>
          <w:tcPr>
            <w:tcW w:w="1185" w:type="dxa"/>
            <w:tcMar>
              <w:top w:w="60" w:type="dxa"/>
              <w:left w:w="120" w:type="dxa"/>
              <w:bottom w:w="30" w:type="dxa"/>
              <w:right w:w="120" w:type="dxa"/>
            </w:tcMar>
          </w:tcPr>
          <w:p w14:paraId="63C38AD0">
            <w:pPr>
              <w:spacing w:line="360" w:lineRule="auto"/>
              <w:rPr>
                <w:rFonts w:hint="eastAsia" w:ascii="宋体" w:hAnsi="宋体" w:eastAsia="宋体"/>
                <w:sz w:val="24"/>
              </w:rPr>
            </w:pPr>
          </w:p>
        </w:tc>
        <w:tc>
          <w:tcPr>
            <w:tcW w:w="1497" w:type="dxa"/>
            <w:tcMar>
              <w:top w:w="60" w:type="dxa"/>
              <w:left w:w="120" w:type="dxa"/>
              <w:bottom w:w="30" w:type="dxa"/>
              <w:right w:w="120" w:type="dxa"/>
            </w:tcMar>
          </w:tcPr>
          <w:p w14:paraId="5FB14320">
            <w:pPr>
              <w:spacing w:line="360" w:lineRule="auto"/>
              <w:rPr>
                <w:rFonts w:hint="eastAsia" w:ascii="宋体" w:hAnsi="宋体" w:eastAsia="宋体"/>
                <w:sz w:val="24"/>
              </w:rPr>
            </w:pPr>
          </w:p>
        </w:tc>
        <w:tc>
          <w:tcPr>
            <w:tcW w:w="2280" w:type="dxa"/>
            <w:tcMar>
              <w:top w:w="60" w:type="dxa"/>
              <w:left w:w="120" w:type="dxa"/>
              <w:bottom w:w="30" w:type="dxa"/>
              <w:right w:w="120" w:type="dxa"/>
            </w:tcMar>
          </w:tcPr>
          <w:p w14:paraId="2E68FC3E">
            <w:pPr>
              <w:spacing w:line="360" w:lineRule="auto"/>
              <w:rPr>
                <w:rFonts w:hint="eastAsia" w:ascii="宋体" w:hAnsi="宋体" w:eastAsia="宋体"/>
                <w:sz w:val="24"/>
              </w:rPr>
            </w:pPr>
          </w:p>
        </w:tc>
        <w:tc>
          <w:tcPr>
            <w:tcW w:w="1185" w:type="dxa"/>
            <w:tcMar>
              <w:top w:w="60" w:type="dxa"/>
              <w:left w:w="120" w:type="dxa"/>
              <w:bottom w:w="30" w:type="dxa"/>
              <w:right w:w="120" w:type="dxa"/>
            </w:tcMar>
          </w:tcPr>
          <w:p w14:paraId="0CA1934B">
            <w:pPr>
              <w:spacing w:line="360" w:lineRule="auto"/>
              <w:rPr>
                <w:rFonts w:hint="eastAsia" w:ascii="宋体" w:hAnsi="宋体" w:eastAsia="宋体"/>
                <w:sz w:val="24"/>
              </w:rPr>
            </w:pPr>
          </w:p>
        </w:tc>
      </w:tr>
      <w:tr w14:paraId="0F65C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51" w:type="dxa"/>
            <w:tcMar>
              <w:top w:w="60" w:type="dxa"/>
              <w:left w:w="120" w:type="dxa"/>
              <w:bottom w:w="30" w:type="dxa"/>
              <w:right w:w="120" w:type="dxa"/>
            </w:tcMar>
          </w:tcPr>
          <w:p w14:paraId="63A73150">
            <w:pPr>
              <w:spacing w:before="120" w:after="120" w:line="360" w:lineRule="auto"/>
              <w:jc w:val="center"/>
              <w:rPr>
                <w:rFonts w:hint="eastAsia" w:ascii="宋体" w:hAnsi="宋体" w:eastAsia="宋体"/>
                <w:sz w:val="24"/>
              </w:rPr>
            </w:pPr>
            <w:r>
              <w:rPr>
                <w:rFonts w:ascii="宋体" w:hAnsi="宋体" w:eastAsia="宋体" w:cs="Arial"/>
                <w:sz w:val="24"/>
              </w:rPr>
              <w:t>5</w:t>
            </w:r>
          </w:p>
        </w:tc>
        <w:tc>
          <w:tcPr>
            <w:tcW w:w="1276" w:type="dxa"/>
            <w:tcMar>
              <w:top w:w="60" w:type="dxa"/>
              <w:left w:w="120" w:type="dxa"/>
              <w:bottom w:w="30" w:type="dxa"/>
              <w:right w:w="120" w:type="dxa"/>
            </w:tcMar>
          </w:tcPr>
          <w:p w14:paraId="201BC6BF">
            <w:pPr>
              <w:spacing w:line="360" w:lineRule="auto"/>
              <w:rPr>
                <w:rFonts w:hint="eastAsia" w:ascii="宋体" w:hAnsi="宋体" w:eastAsia="宋体"/>
                <w:sz w:val="24"/>
              </w:rPr>
            </w:pPr>
          </w:p>
        </w:tc>
        <w:tc>
          <w:tcPr>
            <w:tcW w:w="1275" w:type="dxa"/>
            <w:tcMar>
              <w:top w:w="60" w:type="dxa"/>
              <w:left w:w="120" w:type="dxa"/>
              <w:bottom w:w="30" w:type="dxa"/>
              <w:right w:w="120" w:type="dxa"/>
            </w:tcMar>
          </w:tcPr>
          <w:p w14:paraId="64A44A74">
            <w:pPr>
              <w:spacing w:line="360" w:lineRule="auto"/>
              <w:rPr>
                <w:rFonts w:hint="eastAsia" w:ascii="宋体" w:hAnsi="宋体" w:eastAsia="宋体"/>
                <w:sz w:val="24"/>
              </w:rPr>
            </w:pPr>
          </w:p>
        </w:tc>
        <w:tc>
          <w:tcPr>
            <w:tcW w:w="1185" w:type="dxa"/>
            <w:tcMar>
              <w:top w:w="60" w:type="dxa"/>
              <w:left w:w="120" w:type="dxa"/>
              <w:bottom w:w="30" w:type="dxa"/>
              <w:right w:w="120" w:type="dxa"/>
            </w:tcMar>
          </w:tcPr>
          <w:p w14:paraId="0DC91F68">
            <w:pPr>
              <w:spacing w:line="360" w:lineRule="auto"/>
              <w:rPr>
                <w:rFonts w:hint="eastAsia" w:ascii="宋体" w:hAnsi="宋体" w:eastAsia="宋体"/>
                <w:sz w:val="24"/>
              </w:rPr>
            </w:pPr>
          </w:p>
        </w:tc>
        <w:tc>
          <w:tcPr>
            <w:tcW w:w="1497" w:type="dxa"/>
            <w:tcMar>
              <w:top w:w="60" w:type="dxa"/>
              <w:left w:w="120" w:type="dxa"/>
              <w:bottom w:w="30" w:type="dxa"/>
              <w:right w:w="120" w:type="dxa"/>
            </w:tcMar>
          </w:tcPr>
          <w:p w14:paraId="77C69565">
            <w:pPr>
              <w:spacing w:line="360" w:lineRule="auto"/>
              <w:rPr>
                <w:rFonts w:hint="eastAsia" w:ascii="宋体" w:hAnsi="宋体" w:eastAsia="宋体"/>
                <w:sz w:val="24"/>
              </w:rPr>
            </w:pPr>
          </w:p>
        </w:tc>
        <w:tc>
          <w:tcPr>
            <w:tcW w:w="2280" w:type="dxa"/>
            <w:tcMar>
              <w:top w:w="60" w:type="dxa"/>
              <w:left w:w="120" w:type="dxa"/>
              <w:bottom w:w="30" w:type="dxa"/>
              <w:right w:w="120" w:type="dxa"/>
            </w:tcMar>
          </w:tcPr>
          <w:p w14:paraId="185E41E0">
            <w:pPr>
              <w:spacing w:line="360" w:lineRule="auto"/>
              <w:rPr>
                <w:rFonts w:hint="eastAsia" w:ascii="宋体" w:hAnsi="宋体" w:eastAsia="宋体"/>
                <w:sz w:val="24"/>
              </w:rPr>
            </w:pPr>
          </w:p>
        </w:tc>
        <w:tc>
          <w:tcPr>
            <w:tcW w:w="1185" w:type="dxa"/>
            <w:tcMar>
              <w:top w:w="60" w:type="dxa"/>
              <w:left w:w="120" w:type="dxa"/>
              <w:bottom w:w="30" w:type="dxa"/>
              <w:right w:w="120" w:type="dxa"/>
            </w:tcMar>
          </w:tcPr>
          <w:p w14:paraId="7311DD5A">
            <w:pPr>
              <w:spacing w:line="360" w:lineRule="auto"/>
              <w:rPr>
                <w:rFonts w:hint="eastAsia" w:ascii="宋体" w:hAnsi="宋体" w:eastAsia="宋体"/>
                <w:sz w:val="24"/>
              </w:rPr>
            </w:pPr>
          </w:p>
        </w:tc>
      </w:tr>
      <w:tr w14:paraId="3AB2E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51" w:type="dxa"/>
            <w:tcMar>
              <w:top w:w="60" w:type="dxa"/>
              <w:left w:w="120" w:type="dxa"/>
              <w:bottom w:w="30" w:type="dxa"/>
              <w:right w:w="120" w:type="dxa"/>
            </w:tcMar>
          </w:tcPr>
          <w:p w14:paraId="4DC201BF">
            <w:pPr>
              <w:spacing w:before="120" w:after="120" w:line="360" w:lineRule="auto"/>
              <w:jc w:val="center"/>
              <w:rPr>
                <w:rFonts w:hint="eastAsia" w:ascii="宋体" w:hAnsi="宋体" w:eastAsia="宋体"/>
                <w:sz w:val="24"/>
              </w:rPr>
            </w:pPr>
            <w:r>
              <w:rPr>
                <w:rFonts w:ascii="宋体" w:hAnsi="宋体" w:eastAsia="宋体" w:cs="Arial"/>
                <w:sz w:val="24"/>
              </w:rPr>
              <w:t>6</w:t>
            </w:r>
          </w:p>
        </w:tc>
        <w:tc>
          <w:tcPr>
            <w:tcW w:w="1276" w:type="dxa"/>
            <w:tcMar>
              <w:top w:w="60" w:type="dxa"/>
              <w:left w:w="120" w:type="dxa"/>
              <w:bottom w:w="30" w:type="dxa"/>
              <w:right w:w="120" w:type="dxa"/>
            </w:tcMar>
          </w:tcPr>
          <w:p w14:paraId="26C9E86F">
            <w:pPr>
              <w:spacing w:line="360" w:lineRule="auto"/>
              <w:rPr>
                <w:rFonts w:hint="eastAsia" w:ascii="宋体" w:hAnsi="宋体" w:eastAsia="宋体"/>
                <w:sz w:val="24"/>
              </w:rPr>
            </w:pPr>
          </w:p>
        </w:tc>
        <w:tc>
          <w:tcPr>
            <w:tcW w:w="1275" w:type="dxa"/>
            <w:tcMar>
              <w:top w:w="60" w:type="dxa"/>
              <w:left w:w="120" w:type="dxa"/>
              <w:bottom w:w="30" w:type="dxa"/>
              <w:right w:w="120" w:type="dxa"/>
            </w:tcMar>
          </w:tcPr>
          <w:p w14:paraId="2AE6C151">
            <w:pPr>
              <w:spacing w:line="360" w:lineRule="auto"/>
              <w:rPr>
                <w:rFonts w:hint="eastAsia" w:ascii="宋体" w:hAnsi="宋体" w:eastAsia="宋体"/>
                <w:sz w:val="24"/>
              </w:rPr>
            </w:pPr>
          </w:p>
        </w:tc>
        <w:tc>
          <w:tcPr>
            <w:tcW w:w="1185" w:type="dxa"/>
            <w:tcMar>
              <w:top w:w="60" w:type="dxa"/>
              <w:left w:w="120" w:type="dxa"/>
              <w:bottom w:w="30" w:type="dxa"/>
              <w:right w:w="120" w:type="dxa"/>
            </w:tcMar>
          </w:tcPr>
          <w:p w14:paraId="719315D7">
            <w:pPr>
              <w:spacing w:line="360" w:lineRule="auto"/>
              <w:rPr>
                <w:rFonts w:hint="eastAsia" w:ascii="宋体" w:hAnsi="宋体" w:eastAsia="宋体"/>
                <w:sz w:val="24"/>
              </w:rPr>
            </w:pPr>
          </w:p>
        </w:tc>
        <w:tc>
          <w:tcPr>
            <w:tcW w:w="1497" w:type="dxa"/>
            <w:tcMar>
              <w:top w:w="60" w:type="dxa"/>
              <w:left w:w="120" w:type="dxa"/>
              <w:bottom w:w="30" w:type="dxa"/>
              <w:right w:w="120" w:type="dxa"/>
            </w:tcMar>
          </w:tcPr>
          <w:p w14:paraId="32B9DC02">
            <w:pPr>
              <w:spacing w:line="360" w:lineRule="auto"/>
              <w:rPr>
                <w:rFonts w:hint="eastAsia" w:ascii="宋体" w:hAnsi="宋体" w:eastAsia="宋体"/>
                <w:sz w:val="24"/>
              </w:rPr>
            </w:pPr>
          </w:p>
        </w:tc>
        <w:tc>
          <w:tcPr>
            <w:tcW w:w="2280" w:type="dxa"/>
            <w:tcMar>
              <w:top w:w="60" w:type="dxa"/>
              <w:left w:w="120" w:type="dxa"/>
              <w:bottom w:w="30" w:type="dxa"/>
              <w:right w:w="120" w:type="dxa"/>
            </w:tcMar>
          </w:tcPr>
          <w:p w14:paraId="1F39F8CB">
            <w:pPr>
              <w:spacing w:line="360" w:lineRule="auto"/>
              <w:rPr>
                <w:rFonts w:hint="eastAsia" w:ascii="宋体" w:hAnsi="宋体" w:eastAsia="宋体"/>
                <w:sz w:val="24"/>
              </w:rPr>
            </w:pPr>
          </w:p>
        </w:tc>
        <w:tc>
          <w:tcPr>
            <w:tcW w:w="1185" w:type="dxa"/>
            <w:tcMar>
              <w:top w:w="60" w:type="dxa"/>
              <w:left w:w="120" w:type="dxa"/>
              <w:bottom w:w="30" w:type="dxa"/>
              <w:right w:w="120" w:type="dxa"/>
            </w:tcMar>
          </w:tcPr>
          <w:p w14:paraId="0E0A42D7">
            <w:pPr>
              <w:spacing w:line="360" w:lineRule="auto"/>
              <w:rPr>
                <w:rFonts w:hint="eastAsia" w:ascii="宋体" w:hAnsi="宋体" w:eastAsia="宋体"/>
                <w:sz w:val="24"/>
              </w:rPr>
            </w:pPr>
          </w:p>
        </w:tc>
      </w:tr>
      <w:tr w14:paraId="13933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51" w:type="dxa"/>
            <w:tcMar>
              <w:top w:w="60" w:type="dxa"/>
              <w:left w:w="120" w:type="dxa"/>
              <w:bottom w:w="30" w:type="dxa"/>
              <w:right w:w="120" w:type="dxa"/>
            </w:tcMar>
          </w:tcPr>
          <w:p w14:paraId="7BC81AAD">
            <w:pPr>
              <w:spacing w:before="120" w:after="120" w:line="360" w:lineRule="auto"/>
              <w:jc w:val="center"/>
              <w:rPr>
                <w:rFonts w:hint="eastAsia" w:ascii="宋体" w:hAnsi="宋体" w:eastAsia="宋体"/>
                <w:sz w:val="24"/>
              </w:rPr>
            </w:pPr>
            <w:r>
              <w:rPr>
                <w:rFonts w:ascii="宋体" w:hAnsi="宋体" w:eastAsia="宋体" w:cs="Arial"/>
                <w:sz w:val="24"/>
              </w:rPr>
              <w:t>7</w:t>
            </w:r>
          </w:p>
        </w:tc>
        <w:tc>
          <w:tcPr>
            <w:tcW w:w="1276" w:type="dxa"/>
            <w:tcMar>
              <w:top w:w="60" w:type="dxa"/>
              <w:left w:w="120" w:type="dxa"/>
              <w:bottom w:w="30" w:type="dxa"/>
              <w:right w:w="120" w:type="dxa"/>
            </w:tcMar>
          </w:tcPr>
          <w:p w14:paraId="46B46724">
            <w:pPr>
              <w:spacing w:line="360" w:lineRule="auto"/>
              <w:rPr>
                <w:rFonts w:hint="eastAsia" w:ascii="宋体" w:hAnsi="宋体" w:eastAsia="宋体"/>
                <w:sz w:val="24"/>
              </w:rPr>
            </w:pPr>
          </w:p>
        </w:tc>
        <w:tc>
          <w:tcPr>
            <w:tcW w:w="1275" w:type="dxa"/>
            <w:tcMar>
              <w:top w:w="60" w:type="dxa"/>
              <w:left w:w="120" w:type="dxa"/>
              <w:bottom w:w="30" w:type="dxa"/>
              <w:right w:w="120" w:type="dxa"/>
            </w:tcMar>
          </w:tcPr>
          <w:p w14:paraId="11E5B981">
            <w:pPr>
              <w:spacing w:line="360" w:lineRule="auto"/>
              <w:rPr>
                <w:rFonts w:hint="eastAsia" w:ascii="宋体" w:hAnsi="宋体" w:eastAsia="宋体"/>
                <w:sz w:val="24"/>
              </w:rPr>
            </w:pPr>
          </w:p>
        </w:tc>
        <w:tc>
          <w:tcPr>
            <w:tcW w:w="1185" w:type="dxa"/>
            <w:tcMar>
              <w:top w:w="60" w:type="dxa"/>
              <w:left w:w="120" w:type="dxa"/>
              <w:bottom w:w="30" w:type="dxa"/>
              <w:right w:w="120" w:type="dxa"/>
            </w:tcMar>
          </w:tcPr>
          <w:p w14:paraId="350A5325">
            <w:pPr>
              <w:spacing w:line="360" w:lineRule="auto"/>
              <w:rPr>
                <w:rFonts w:hint="eastAsia" w:ascii="宋体" w:hAnsi="宋体" w:eastAsia="宋体"/>
                <w:sz w:val="24"/>
              </w:rPr>
            </w:pPr>
          </w:p>
        </w:tc>
        <w:tc>
          <w:tcPr>
            <w:tcW w:w="1497" w:type="dxa"/>
            <w:tcMar>
              <w:top w:w="60" w:type="dxa"/>
              <w:left w:w="120" w:type="dxa"/>
              <w:bottom w:w="30" w:type="dxa"/>
              <w:right w:w="120" w:type="dxa"/>
            </w:tcMar>
          </w:tcPr>
          <w:p w14:paraId="68247EA4">
            <w:pPr>
              <w:spacing w:line="360" w:lineRule="auto"/>
              <w:rPr>
                <w:rFonts w:hint="eastAsia" w:ascii="宋体" w:hAnsi="宋体" w:eastAsia="宋体"/>
                <w:sz w:val="24"/>
              </w:rPr>
            </w:pPr>
          </w:p>
        </w:tc>
        <w:tc>
          <w:tcPr>
            <w:tcW w:w="2280" w:type="dxa"/>
            <w:tcMar>
              <w:top w:w="60" w:type="dxa"/>
              <w:left w:w="120" w:type="dxa"/>
              <w:bottom w:w="30" w:type="dxa"/>
              <w:right w:w="120" w:type="dxa"/>
            </w:tcMar>
          </w:tcPr>
          <w:p w14:paraId="5B1B4F5D">
            <w:pPr>
              <w:spacing w:line="360" w:lineRule="auto"/>
              <w:rPr>
                <w:rFonts w:hint="eastAsia" w:ascii="宋体" w:hAnsi="宋体" w:eastAsia="宋体"/>
                <w:sz w:val="24"/>
              </w:rPr>
            </w:pPr>
          </w:p>
        </w:tc>
        <w:tc>
          <w:tcPr>
            <w:tcW w:w="1185" w:type="dxa"/>
            <w:tcMar>
              <w:top w:w="60" w:type="dxa"/>
              <w:left w:w="120" w:type="dxa"/>
              <w:bottom w:w="30" w:type="dxa"/>
              <w:right w:w="120" w:type="dxa"/>
            </w:tcMar>
          </w:tcPr>
          <w:p w14:paraId="41C0914E">
            <w:pPr>
              <w:spacing w:line="360" w:lineRule="auto"/>
              <w:rPr>
                <w:rFonts w:hint="eastAsia" w:ascii="宋体" w:hAnsi="宋体" w:eastAsia="宋体"/>
                <w:sz w:val="24"/>
              </w:rPr>
            </w:pPr>
          </w:p>
        </w:tc>
      </w:tr>
      <w:tr w14:paraId="1D3BE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51" w:type="dxa"/>
            <w:tcMar>
              <w:top w:w="60" w:type="dxa"/>
              <w:left w:w="120" w:type="dxa"/>
              <w:bottom w:w="30" w:type="dxa"/>
              <w:right w:w="120" w:type="dxa"/>
            </w:tcMar>
          </w:tcPr>
          <w:p w14:paraId="1142B053">
            <w:pPr>
              <w:spacing w:before="120" w:after="120" w:line="360" w:lineRule="auto"/>
              <w:jc w:val="center"/>
              <w:rPr>
                <w:rFonts w:hint="eastAsia" w:ascii="宋体" w:hAnsi="宋体" w:eastAsia="宋体"/>
                <w:sz w:val="24"/>
              </w:rPr>
            </w:pPr>
            <w:r>
              <w:rPr>
                <w:rFonts w:ascii="宋体" w:hAnsi="宋体" w:eastAsia="宋体" w:cs="Arial"/>
                <w:sz w:val="24"/>
              </w:rPr>
              <w:t>8</w:t>
            </w:r>
          </w:p>
        </w:tc>
        <w:tc>
          <w:tcPr>
            <w:tcW w:w="1276" w:type="dxa"/>
            <w:tcMar>
              <w:top w:w="60" w:type="dxa"/>
              <w:left w:w="120" w:type="dxa"/>
              <w:bottom w:w="30" w:type="dxa"/>
              <w:right w:w="120" w:type="dxa"/>
            </w:tcMar>
          </w:tcPr>
          <w:p w14:paraId="467322B0">
            <w:pPr>
              <w:spacing w:line="360" w:lineRule="auto"/>
              <w:rPr>
                <w:rFonts w:hint="eastAsia" w:ascii="宋体" w:hAnsi="宋体" w:eastAsia="宋体"/>
                <w:sz w:val="24"/>
              </w:rPr>
            </w:pPr>
          </w:p>
        </w:tc>
        <w:tc>
          <w:tcPr>
            <w:tcW w:w="1275" w:type="dxa"/>
            <w:tcMar>
              <w:top w:w="60" w:type="dxa"/>
              <w:left w:w="120" w:type="dxa"/>
              <w:bottom w:w="30" w:type="dxa"/>
              <w:right w:w="120" w:type="dxa"/>
            </w:tcMar>
          </w:tcPr>
          <w:p w14:paraId="4A069F2A">
            <w:pPr>
              <w:spacing w:line="360" w:lineRule="auto"/>
              <w:rPr>
                <w:rFonts w:hint="eastAsia" w:ascii="宋体" w:hAnsi="宋体" w:eastAsia="宋体"/>
                <w:sz w:val="24"/>
              </w:rPr>
            </w:pPr>
          </w:p>
        </w:tc>
        <w:tc>
          <w:tcPr>
            <w:tcW w:w="1185" w:type="dxa"/>
            <w:tcMar>
              <w:top w:w="60" w:type="dxa"/>
              <w:left w:w="120" w:type="dxa"/>
              <w:bottom w:w="30" w:type="dxa"/>
              <w:right w:w="120" w:type="dxa"/>
            </w:tcMar>
          </w:tcPr>
          <w:p w14:paraId="7B14F74E">
            <w:pPr>
              <w:spacing w:line="360" w:lineRule="auto"/>
              <w:rPr>
                <w:rFonts w:hint="eastAsia" w:ascii="宋体" w:hAnsi="宋体" w:eastAsia="宋体"/>
                <w:sz w:val="24"/>
              </w:rPr>
            </w:pPr>
          </w:p>
        </w:tc>
        <w:tc>
          <w:tcPr>
            <w:tcW w:w="1497" w:type="dxa"/>
            <w:tcMar>
              <w:top w:w="60" w:type="dxa"/>
              <w:left w:w="120" w:type="dxa"/>
              <w:bottom w:w="30" w:type="dxa"/>
              <w:right w:w="120" w:type="dxa"/>
            </w:tcMar>
          </w:tcPr>
          <w:p w14:paraId="6E605E80">
            <w:pPr>
              <w:spacing w:line="360" w:lineRule="auto"/>
              <w:rPr>
                <w:rFonts w:hint="eastAsia" w:ascii="宋体" w:hAnsi="宋体" w:eastAsia="宋体"/>
                <w:sz w:val="24"/>
              </w:rPr>
            </w:pPr>
          </w:p>
        </w:tc>
        <w:tc>
          <w:tcPr>
            <w:tcW w:w="2280" w:type="dxa"/>
            <w:tcMar>
              <w:top w:w="60" w:type="dxa"/>
              <w:left w:w="120" w:type="dxa"/>
              <w:bottom w:w="30" w:type="dxa"/>
              <w:right w:w="120" w:type="dxa"/>
            </w:tcMar>
          </w:tcPr>
          <w:p w14:paraId="02163563">
            <w:pPr>
              <w:spacing w:line="360" w:lineRule="auto"/>
              <w:rPr>
                <w:rFonts w:hint="eastAsia" w:ascii="宋体" w:hAnsi="宋体" w:eastAsia="宋体"/>
                <w:sz w:val="24"/>
              </w:rPr>
            </w:pPr>
          </w:p>
        </w:tc>
        <w:tc>
          <w:tcPr>
            <w:tcW w:w="1185" w:type="dxa"/>
            <w:tcMar>
              <w:top w:w="60" w:type="dxa"/>
              <w:left w:w="120" w:type="dxa"/>
              <w:bottom w:w="30" w:type="dxa"/>
              <w:right w:w="120" w:type="dxa"/>
            </w:tcMar>
          </w:tcPr>
          <w:p w14:paraId="290AC533">
            <w:pPr>
              <w:spacing w:line="360" w:lineRule="auto"/>
              <w:rPr>
                <w:rFonts w:hint="eastAsia" w:ascii="宋体" w:hAnsi="宋体" w:eastAsia="宋体"/>
                <w:sz w:val="24"/>
              </w:rPr>
            </w:pPr>
          </w:p>
        </w:tc>
      </w:tr>
      <w:tr w14:paraId="06E69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51" w:type="dxa"/>
            <w:tcMar>
              <w:top w:w="60" w:type="dxa"/>
              <w:left w:w="120" w:type="dxa"/>
              <w:bottom w:w="30" w:type="dxa"/>
              <w:right w:w="120" w:type="dxa"/>
            </w:tcMar>
          </w:tcPr>
          <w:p w14:paraId="1ED10F41">
            <w:pPr>
              <w:spacing w:before="120" w:after="120" w:line="360" w:lineRule="auto"/>
              <w:jc w:val="center"/>
              <w:rPr>
                <w:rFonts w:hint="eastAsia" w:ascii="宋体" w:hAnsi="宋体" w:eastAsia="宋体"/>
                <w:sz w:val="24"/>
              </w:rPr>
            </w:pPr>
            <w:r>
              <w:rPr>
                <w:rFonts w:ascii="宋体" w:hAnsi="宋体" w:eastAsia="宋体" w:cs="Arial"/>
                <w:sz w:val="24"/>
              </w:rPr>
              <w:t>9</w:t>
            </w:r>
          </w:p>
        </w:tc>
        <w:tc>
          <w:tcPr>
            <w:tcW w:w="1276" w:type="dxa"/>
            <w:tcMar>
              <w:top w:w="60" w:type="dxa"/>
              <w:left w:w="120" w:type="dxa"/>
              <w:bottom w:w="30" w:type="dxa"/>
              <w:right w:w="120" w:type="dxa"/>
            </w:tcMar>
          </w:tcPr>
          <w:p w14:paraId="554301E9">
            <w:pPr>
              <w:spacing w:line="360" w:lineRule="auto"/>
              <w:rPr>
                <w:rFonts w:hint="eastAsia" w:ascii="宋体" w:hAnsi="宋体" w:eastAsia="宋体"/>
                <w:sz w:val="24"/>
              </w:rPr>
            </w:pPr>
          </w:p>
        </w:tc>
        <w:tc>
          <w:tcPr>
            <w:tcW w:w="1275" w:type="dxa"/>
            <w:tcMar>
              <w:top w:w="60" w:type="dxa"/>
              <w:left w:w="120" w:type="dxa"/>
              <w:bottom w:w="30" w:type="dxa"/>
              <w:right w:w="120" w:type="dxa"/>
            </w:tcMar>
          </w:tcPr>
          <w:p w14:paraId="06AD248F">
            <w:pPr>
              <w:spacing w:line="360" w:lineRule="auto"/>
              <w:rPr>
                <w:rFonts w:hint="eastAsia" w:ascii="宋体" w:hAnsi="宋体" w:eastAsia="宋体"/>
                <w:sz w:val="24"/>
              </w:rPr>
            </w:pPr>
          </w:p>
        </w:tc>
        <w:tc>
          <w:tcPr>
            <w:tcW w:w="1185" w:type="dxa"/>
            <w:tcMar>
              <w:top w:w="60" w:type="dxa"/>
              <w:left w:w="120" w:type="dxa"/>
              <w:bottom w:w="30" w:type="dxa"/>
              <w:right w:w="120" w:type="dxa"/>
            </w:tcMar>
          </w:tcPr>
          <w:p w14:paraId="3B603E6B">
            <w:pPr>
              <w:spacing w:line="360" w:lineRule="auto"/>
              <w:rPr>
                <w:rFonts w:hint="eastAsia" w:ascii="宋体" w:hAnsi="宋体" w:eastAsia="宋体"/>
                <w:sz w:val="24"/>
              </w:rPr>
            </w:pPr>
          </w:p>
        </w:tc>
        <w:tc>
          <w:tcPr>
            <w:tcW w:w="1497" w:type="dxa"/>
            <w:tcMar>
              <w:top w:w="60" w:type="dxa"/>
              <w:left w:w="120" w:type="dxa"/>
              <w:bottom w:w="30" w:type="dxa"/>
              <w:right w:w="120" w:type="dxa"/>
            </w:tcMar>
          </w:tcPr>
          <w:p w14:paraId="764758BF">
            <w:pPr>
              <w:spacing w:line="360" w:lineRule="auto"/>
              <w:rPr>
                <w:rFonts w:hint="eastAsia" w:ascii="宋体" w:hAnsi="宋体" w:eastAsia="宋体"/>
                <w:sz w:val="24"/>
              </w:rPr>
            </w:pPr>
          </w:p>
        </w:tc>
        <w:tc>
          <w:tcPr>
            <w:tcW w:w="2280" w:type="dxa"/>
            <w:tcMar>
              <w:top w:w="60" w:type="dxa"/>
              <w:left w:w="120" w:type="dxa"/>
              <w:bottom w:w="30" w:type="dxa"/>
              <w:right w:w="120" w:type="dxa"/>
            </w:tcMar>
          </w:tcPr>
          <w:p w14:paraId="2A249B56">
            <w:pPr>
              <w:spacing w:line="360" w:lineRule="auto"/>
              <w:rPr>
                <w:rFonts w:hint="eastAsia" w:ascii="宋体" w:hAnsi="宋体" w:eastAsia="宋体"/>
                <w:sz w:val="24"/>
              </w:rPr>
            </w:pPr>
          </w:p>
        </w:tc>
        <w:tc>
          <w:tcPr>
            <w:tcW w:w="1185" w:type="dxa"/>
            <w:tcMar>
              <w:top w:w="60" w:type="dxa"/>
              <w:left w:w="120" w:type="dxa"/>
              <w:bottom w:w="30" w:type="dxa"/>
              <w:right w:w="120" w:type="dxa"/>
            </w:tcMar>
          </w:tcPr>
          <w:p w14:paraId="59680722">
            <w:pPr>
              <w:spacing w:line="360" w:lineRule="auto"/>
              <w:rPr>
                <w:rFonts w:hint="eastAsia" w:ascii="宋体" w:hAnsi="宋体" w:eastAsia="宋体"/>
                <w:sz w:val="24"/>
              </w:rPr>
            </w:pPr>
          </w:p>
        </w:tc>
      </w:tr>
      <w:tr w14:paraId="26B5D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51" w:type="dxa"/>
            <w:tcMar>
              <w:top w:w="60" w:type="dxa"/>
              <w:left w:w="120" w:type="dxa"/>
              <w:bottom w:w="30" w:type="dxa"/>
              <w:right w:w="120" w:type="dxa"/>
            </w:tcMar>
          </w:tcPr>
          <w:p w14:paraId="57F53D94">
            <w:pPr>
              <w:spacing w:before="120" w:after="120" w:line="360" w:lineRule="auto"/>
              <w:jc w:val="center"/>
              <w:rPr>
                <w:rFonts w:hint="eastAsia" w:ascii="宋体" w:hAnsi="宋体" w:eastAsia="宋体"/>
                <w:sz w:val="24"/>
              </w:rPr>
            </w:pPr>
            <w:r>
              <w:rPr>
                <w:rFonts w:ascii="宋体" w:hAnsi="宋体" w:eastAsia="宋体" w:cs="Arial"/>
                <w:sz w:val="24"/>
              </w:rPr>
              <w:t>10</w:t>
            </w:r>
          </w:p>
        </w:tc>
        <w:tc>
          <w:tcPr>
            <w:tcW w:w="1276" w:type="dxa"/>
            <w:tcMar>
              <w:top w:w="60" w:type="dxa"/>
              <w:left w:w="120" w:type="dxa"/>
              <w:bottom w:w="30" w:type="dxa"/>
              <w:right w:w="120" w:type="dxa"/>
            </w:tcMar>
          </w:tcPr>
          <w:p w14:paraId="764832A0">
            <w:pPr>
              <w:spacing w:line="360" w:lineRule="auto"/>
              <w:rPr>
                <w:rFonts w:hint="eastAsia" w:ascii="宋体" w:hAnsi="宋体" w:eastAsia="宋体"/>
                <w:sz w:val="24"/>
              </w:rPr>
            </w:pPr>
          </w:p>
        </w:tc>
        <w:tc>
          <w:tcPr>
            <w:tcW w:w="1275" w:type="dxa"/>
            <w:tcMar>
              <w:top w:w="60" w:type="dxa"/>
              <w:left w:w="120" w:type="dxa"/>
              <w:bottom w:w="30" w:type="dxa"/>
              <w:right w:w="120" w:type="dxa"/>
            </w:tcMar>
          </w:tcPr>
          <w:p w14:paraId="4ACB187D">
            <w:pPr>
              <w:spacing w:line="360" w:lineRule="auto"/>
              <w:rPr>
                <w:rFonts w:hint="eastAsia" w:ascii="宋体" w:hAnsi="宋体" w:eastAsia="宋体"/>
                <w:sz w:val="24"/>
              </w:rPr>
            </w:pPr>
          </w:p>
        </w:tc>
        <w:tc>
          <w:tcPr>
            <w:tcW w:w="1185" w:type="dxa"/>
            <w:tcMar>
              <w:top w:w="60" w:type="dxa"/>
              <w:left w:w="120" w:type="dxa"/>
              <w:bottom w:w="30" w:type="dxa"/>
              <w:right w:w="120" w:type="dxa"/>
            </w:tcMar>
          </w:tcPr>
          <w:p w14:paraId="6C7750B2">
            <w:pPr>
              <w:spacing w:line="360" w:lineRule="auto"/>
              <w:rPr>
                <w:rFonts w:hint="eastAsia" w:ascii="宋体" w:hAnsi="宋体" w:eastAsia="宋体"/>
                <w:sz w:val="24"/>
              </w:rPr>
            </w:pPr>
          </w:p>
        </w:tc>
        <w:tc>
          <w:tcPr>
            <w:tcW w:w="1497" w:type="dxa"/>
            <w:tcMar>
              <w:top w:w="60" w:type="dxa"/>
              <w:left w:w="120" w:type="dxa"/>
              <w:bottom w:w="30" w:type="dxa"/>
              <w:right w:w="120" w:type="dxa"/>
            </w:tcMar>
          </w:tcPr>
          <w:p w14:paraId="385F9BF9">
            <w:pPr>
              <w:spacing w:line="360" w:lineRule="auto"/>
              <w:rPr>
                <w:rFonts w:hint="eastAsia" w:ascii="宋体" w:hAnsi="宋体" w:eastAsia="宋体"/>
                <w:sz w:val="24"/>
              </w:rPr>
            </w:pPr>
          </w:p>
        </w:tc>
        <w:tc>
          <w:tcPr>
            <w:tcW w:w="2280" w:type="dxa"/>
            <w:tcMar>
              <w:top w:w="60" w:type="dxa"/>
              <w:left w:w="120" w:type="dxa"/>
              <w:bottom w:w="30" w:type="dxa"/>
              <w:right w:w="120" w:type="dxa"/>
            </w:tcMar>
          </w:tcPr>
          <w:p w14:paraId="46EF7B18">
            <w:pPr>
              <w:spacing w:line="360" w:lineRule="auto"/>
              <w:rPr>
                <w:rFonts w:hint="eastAsia" w:ascii="宋体" w:hAnsi="宋体" w:eastAsia="宋体"/>
                <w:sz w:val="24"/>
              </w:rPr>
            </w:pPr>
          </w:p>
        </w:tc>
        <w:tc>
          <w:tcPr>
            <w:tcW w:w="1185" w:type="dxa"/>
            <w:tcMar>
              <w:top w:w="60" w:type="dxa"/>
              <w:left w:w="120" w:type="dxa"/>
              <w:bottom w:w="30" w:type="dxa"/>
              <w:right w:w="120" w:type="dxa"/>
            </w:tcMar>
          </w:tcPr>
          <w:p w14:paraId="6C52272D">
            <w:pPr>
              <w:spacing w:line="360" w:lineRule="auto"/>
              <w:rPr>
                <w:rFonts w:hint="eastAsia" w:ascii="宋体" w:hAnsi="宋体" w:eastAsia="宋体"/>
                <w:sz w:val="24"/>
              </w:rPr>
            </w:pPr>
          </w:p>
        </w:tc>
      </w:tr>
    </w:tbl>
    <w:p w14:paraId="28697F07">
      <w:pPr>
        <w:spacing w:before="120" w:after="120" w:line="360" w:lineRule="auto"/>
        <w:ind w:firstLine="482" w:firstLineChars="200"/>
        <w:rPr>
          <w:rFonts w:hint="eastAsia" w:ascii="宋体" w:hAnsi="宋体" w:eastAsia="宋体"/>
          <w:sz w:val="24"/>
        </w:rPr>
      </w:pPr>
      <w:r>
        <w:rPr>
          <w:rFonts w:hint="eastAsia" w:ascii="宋体" w:hAnsi="宋体" w:eastAsia="宋体" w:cs="Arial"/>
          <w:b/>
          <w:sz w:val="24"/>
        </w:rPr>
        <w:t>样板提交要求</w:t>
      </w:r>
      <w:r>
        <w:rPr>
          <w:rFonts w:ascii="宋体" w:hAnsi="宋体" w:eastAsia="宋体" w:cs="Arial"/>
          <w:sz w:val="24"/>
        </w:rPr>
        <w:t>：</w:t>
      </w:r>
      <w:r>
        <w:rPr>
          <w:rFonts w:hint="eastAsia" w:ascii="宋体" w:hAnsi="宋体" w:eastAsia="宋体" w:cs="Arial"/>
          <w:sz w:val="24"/>
        </w:rPr>
        <w:t>样品递交时间和地点与递交遴选文件的有关要求一致，外包装需做好封口处理；贴标须贴有供应商名称、样品名称、样板规格、保质期等相关信息。所有样品在提交后将不予退回，供应商必须承担提供样品的费用</w:t>
      </w:r>
      <w:r>
        <w:rPr>
          <w:rFonts w:ascii="宋体" w:hAnsi="宋体" w:eastAsia="宋体" w:cs="Arial"/>
          <w:sz w:val="24"/>
        </w:rPr>
        <w:t>。</w:t>
      </w:r>
    </w:p>
    <w:p w14:paraId="723AFA78">
      <w:pPr>
        <w:spacing w:before="120" w:after="120" w:line="360" w:lineRule="auto"/>
        <w:ind w:firstLine="482" w:firstLineChars="200"/>
        <w:rPr>
          <w:rFonts w:hint="eastAsia" w:ascii="宋体" w:hAnsi="宋体" w:eastAsia="宋体"/>
          <w:sz w:val="24"/>
        </w:rPr>
      </w:pPr>
      <w:r>
        <w:rPr>
          <w:rFonts w:ascii="宋体" w:hAnsi="宋体" w:eastAsia="宋体" w:cs="Arial"/>
          <w:b/>
          <w:sz w:val="24"/>
        </w:rPr>
        <w:t>承诺</w:t>
      </w:r>
      <w:r>
        <w:rPr>
          <w:rFonts w:ascii="宋体" w:hAnsi="宋体" w:eastAsia="宋体" w:cs="Arial"/>
          <w:sz w:val="24"/>
        </w:rPr>
        <w:t>：我方所提交的上述样板与实际配送物资一致，若存在不一致，自愿承担一切违约责任。</w:t>
      </w:r>
    </w:p>
    <w:p w14:paraId="5BA7C002">
      <w:pPr>
        <w:spacing w:before="120" w:after="120" w:line="360" w:lineRule="auto"/>
        <w:ind w:firstLine="480" w:firstLineChars="200"/>
        <w:jc w:val="right"/>
        <w:rPr>
          <w:rFonts w:hint="eastAsia" w:ascii="宋体" w:hAnsi="宋体" w:eastAsia="宋体"/>
          <w:sz w:val="24"/>
        </w:rPr>
      </w:pPr>
      <w:r>
        <w:rPr>
          <w:rFonts w:ascii="宋体" w:hAnsi="宋体" w:eastAsia="宋体" w:cs="Arial"/>
          <w:sz w:val="24"/>
        </w:rPr>
        <w:t>供应商（加盖公章）：________________________</w:t>
      </w:r>
    </w:p>
    <w:p w14:paraId="4D7DF4A7">
      <w:pPr>
        <w:spacing w:before="120" w:after="120" w:line="360" w:lineRule="auto"/>
        <w:ind w:firstLine="480" w:firstLineChars="200"/>
        <w:jc w:val="right"/>
        <w:rPr>
          <w:rFonts w:hint="eastAsia" w:ascii="宋体" w:hAnsi="宋体" w:eastAsia="宋体"/>
          <w:sz w:val="24"/>
        </w:rPr>
      </w:pPr>
      <w:r>
        <w:rPr>
          <w:rFonts w:ascii="宋体" w:hAnsi="宋体" w:eastAsia="宋体" w:cs="Arial"/>
          <w:sz w:val="24"/>
        </w:rPr>
        <w:t>日    期：____年____月____日</w:t>
      </w:r>
    </w:p>
    <w:p w14:paraId="546AE3D5">
      <w:pPr>
        <w:spacing w:before="320" w:after="120" w:line="360" w:lineRule="auto"/>
        <w:ind w:firstLine="482" w:firstLineChars="200"/>
        <w:outlineLvl w:val="1"/>
        <w:rPr>
          <w:rFonts w:hint="eastAsia" w:ascii="宋体" w:hAnsi="宋体" w:eastAsia="宋体"/>
          <w:sz w:val="24"/>
        </w:rPr>
      </w:pPr>
      <w:bookmarkStart w:id="56" w:name="OLE_LINK4"/>
      <w:bookmarkStart w:id="57" w:name="heading_47"/>
      <w:r>
        <w:rPr>
          <w:rFonts w:ascii="宋体" w:hAnsi="宋体" w:eastAsia="宋体" w:cs="Arial"/>
          <w:b/>
          <w:sz w:val="24"/>
        </w:rPr>
        <w:t>附件</w:t>
      </w:r>
      <w:r>
        <w:rPr>
          <w:rFonts w:hint="eastAsia" w:ascii="宋体" w:hAnsi="宋体" w:eastAsia="宋体" w:cs="Arial"/>
          <w:b/>
          <w:sz w:val="24"/>
        </w:rPr>
        <w:t>5</w:t>
      </w:r>
      <w:r>
        <w:rPr>
          <w:rFonts w:ascii="宋体" w:hAnsi="宋体" w:eastAsia="宋体" w:cs="Arial"/>
          <w:b/>
          <w:sz w:val="24"/>
        </w:rPr>
        <w:t xml:space="preserve"> </w:t>
      </w:r>
      <w:r>
        <w:rPr>
          <w:rFonts w:hint="eastAsia" w:ascii="宋体" w:hAnsi="宋体" w:eastAsia="宋体" w:cs="Arial"/>
          <w:b/>
          <w:sz w:val="24"/>
        </w:rPr>
        <w:t>食品安全无违法违规承诺函</w:t>
      </w:r>
    </w:p>
    <w:p w14:paraId="23B33ADD">
      <w:pPr>
        <w:spacing w:before="120" w:after="120" w:line="360" w:lineRule="auto"/>
        <w:ind w:firstLine="480" w:firstLineChars="200"/>
        <w:rPr>
          <w:rFonts w:hint="eastAsia" w:ascii="宋体" w:hAnsi="宋体" w:eastAsia="宋体"/>
          <w:sz w:val="24"/>
        </w:rPr>
      </w:pPr>
      <w:r>
        <w:rPr>
          <w:rFonts w:ascii="宋体" w:hAnsi="宋体" w:eastAsia="宋体" w:cs="Arial"/>
          <w:sz w:val="24"/>
        </w:rPr>
        <w:t>致：广州中大餐饮管理有限公司</w:t>
      </w:r>
      <w:r>
        <w:rPr>
          <w:rFonts w:hint="eastAsia" w:ascii="宋体" w:hAnsi="宋体" w:eastAsia="宋体" w:cs="Arial"/>
          <w:sz w:val="24"/>
        </w:rPr>
        <w:t>、广州中大康乐园餐饮有限公司</w:t>
      </w:r>
    </w:p>
    <w:p w14:paraId="26FC00C8">
      <w:pPr>
        <w:spacing w:before="120" w:after="120" w:line="360" w:lineRule="auto"/>
        <w:ind w:firstLine="480" w:firstLineChars="200"/>
        <w:rPr>
          <w:rFonts w:hint="eastAsia" w:ascii="宋体" w:hAnsi="宋体" w:eastAsia="宋体" w:cs="Arial"/>
          <w:sz w:val="24"/>
        </w:rPr>
      </w:pPr>
      <w:r>
        <w:rPr>
          <w:rFonts w:hint="eastAsia" w:ascii="宋体" w:hAnsi="宋体" w:eastAsia="宋体" w:cs="Arial"/>
          <w:sz w:val="24"/>
        </w:rPr>
        <w:t>本单位__________（供应商名称），统一社会信用代码：__________，现就参与贵单位月饼供应相关事宜，郑重承诺如下：</w:t>
      </w:r>
    </w:p>
    <w:p w14:paraId="38D07F72">
      <w:pPr>
        <w:spacing w:before="120" w:after="120" w:line="360" w:lineRule="auto"/>
        <w:ind w:firstLine="424" w:firstLineChars="177"/>
        <w:rPr>
          <w:rFonts w:hint="eastAsia" w:ascii="宋体" w:hAnsi="宋体" w:eastAsia="宋体" w:cs="Arial"/>
          <w:sz w:val="24"/>
        </w:rPr>
      </w:pPr>
      <w:r>
        <w:rPr>
          <w:rFonts w:hint="eastAsia" w:ascii="宋体" w:hAnsi="宋体" w:eastAsia="宋体" w:cs="Arial"/>
          <w:sz w:val="24"/>
        </w:rPr>
        <w:t>本单位2023年1月1日至今未发生</w:t>
      </w:r>
      <w:r>
        <w:rPr>
          <w:rFonts w:ascii="宋体" w:hAnsi="宋体" w:eastAsia="宋体" w:cs="Arial"/>
          <w:sz w:val="24"/>
        </w:rPr>
        <w:t>因食品安全事故或查实食品安全舆情事件受到政府食品安全监督部门通报或处罚的情况</w:t>
      </w:r>
      <w:r>
        <w:rPr>
          <w:rFonts w:hint="eastAsia" w:ascii="宋体" w:hAnsi="宋体" w:eastAsia="宋体" w:cs="Arial"/>
          <w:sz w:val="24"/>
        </w:rPr>
        <w:t>。</w:t>
      </w:r>
    </w:p>
    <w:p w14:paraId="7C8322C6">
      <w:pPr>
        <w:spacing w:before="120" w:after="120" w:line="360" w:lineRule="auto"/>
        <w:ind w:firstLine="480" w:firstLineChars="200"/>
        <w:rPr>
          <w:rFonts w:hint="eastAsia" w:ascii="宋体" w:hAnsi="宋体" w:eastAsia="宋体" w:cs="Arial"/>
          <w:sz w:val="24"/>
        </w:rPr>
      </w:pPr>
      <w:r>
        <w:rPr>
          <w:rFonts w:ascii="宋体" w:hAnsi="宋体" w:eastAsia="宋体" w:cs="Arial"/>
          <w:sz w:val="24"/>
        </w:rPr>
        <w:t>如有弄虚作假行为，所造成的损失、不良后果及法律责任，一律由本单位承担。</w:t>
      </w:r>
    </w:p>
    <w:p w14:paraId="4DDA0768">
      <w:pPr>
        <w:pStyle w:val="12"/>
        <w:spacing w:before="120" w:after="120" w:line="360" w:lineRule="auto"/>
        <w:ind w:left="567" w:firstLine="0" w:firstLineChars="0"/>
        <w:rPr>
          <w:rFonts w:hint="eastAsia" w:ascii="宋体" w:hAnsi="宋体" w:eastAsia="宋体" w:cs="Arial"/>
          <w:sz w:val="24"/>
        </w:rPr>
      </w:pPr>
      <w:r>
        <w:rPr>
          <w:rFonts w:hint="eastAsia" w:ascii="宋体" w:hAnsi="宋体" w:eastAsia="宋体" w:cs="Arial"/>
          <w:sz w:val="24"/>
        </w:rPr>
        <w:t>特此承诺。</w:t>
      </w:r>
    </w:p>
    <w:p w14:paraId="405AF5D3">
      <w:pPr>
        <w:spacing w:before="120" w:after="120" w:line="360" w:lineRule="auto"/>
        <w:ind w:firstLine="480" w:firstLineChars="200"/>
        <w:jc w:val="right"/>
        <w:rPr>
          <w:rFonts w:hint="eastAsia" w:ascii="宋体" w:hAnsi="宋体" w:eastAsia="宋体"/>
          <w:sz w:val="24"/>
        </w:rPr>
      </w:pPr>
      <w:r>
        <w:rPr>
          <w:rFonts w:ascii="宋体" w:hAnsi="宋体" w:eastAsia="宋体" w:cs="Arial"/>
          <w:sz w:val="24"/>
        </w:rPr>
        <w:t>供应商（加盖公章）：________________________</w:t>
      </w:r>
    </w:p>
    <w:p w14:paraId="7C957FB5">
      <w:pPr>
        <w:spacing w:before="120" w:after="120" w:line="360" w:lineRule="auto"/>
        <w:ind w:firstLine="480" w:firstLineChars="200"/>
        <w:jc w:val="right"/>
        <w:rPr>
          <w:rFonts w:hint="eastAsia" w:ascii="宋体" w:hAnsi="宋体" w:eastAsia="宋体"/>
          <w:sz w:val="24"/>
        </w:rPr>
      </w:pPr>
      <w:r>
        <w:rPr>
          <w:rFonts w:ascii="宋体" w:hAnsi="宋体" w:eastAsia="宋体" w:cs="Arial"/>
          <w:sz w:val="24"/>
        </w:rPr>
        <w:t>法定代表人/委托代理人（签字）：________________________</w:t>
      </w:r>
    </w:p>
    <w:p w14:paraId="0E513DB7">
      <w:pPr>
        <w:spacing w:before="120" w:after="120" w:line="360" w:lineRule="auto"/>
        <w:ind w:firstLine="480" w:firstLineChars="200"/>
        <w:jc w:val="right"/>
        <w:rPr>
          <w:rFonts w:hint="eastAsia" w:ascii="宋体" w:hAnsi="宋体" w:eastAsia="宋体" w:cs="Arial"/>
          <w:sz w:val="24"/>
        </w:rPr>
      </w:pPr>
      <w:r>
        <w:rPr>
          <w:rFonts w:ascii="宋体" w:hAnsi="宋体" w:eastAsia="宋体" w:cs="Arial"/>
          <w:sz w:val="24"/>
        </w:rPr>
        <w:t>日    期：____年____月____日</w:t>
      </w:r>
    </w:p>
    <w:p w14:paraId="13E7783D">
      <w:pPr>
        <w:spacing w:before="120" w:after="120" w:line="360" w:lineRule="auto"/>
        <w:ind w:firstLine="480" w:firstLineChars="200"/>
        <w:jc w:val="right"/>
        <w:rPr>
          <w:rFonts w:hint="eastAsia" w:ascii="宋体" w:hAnsi="宋体" w:eastAsia="宋体" w:cs="Arial"/>
          <w:sz w:val="24"/>
        </w:rPr>
      </w:pPr>
    </w:p>
    <w:bookmarkEnd w:id="56"/>
    <w:p w14:paraId="0B1E8849">
      <w:pPr>
        <w:spacing w:before="320" w:after="120" w:line="360" w:lineRule="auto"/>
        <w:ind w:firstLine="482" w:firstLineChars="200"/>
        <w:outlineLvl w:val="1"/>
        <w:rPr>
          <w:rFonts w:hint="eastAsia" w:ascii="宋体" w:hAnsi="宋体" w:eastAsia="宋体" w:cs="Arial"/>
          <w:b/>
          <w:sz w:val="24"/>
        </w:rPr>
      </w:pPr>
      <w:bookmarkStart w:id="58" w:name="OLE_LINK2"/>
      <w:r>
        <w:rPr>
          <w:rFonts w:ascii="宋体" w:hAnsi="宋体" w:eastAsia="宋体" w:cs="Arial"/>
          <w:b/>
          <w:sz w:val="24"/>
        </w:rPr>
        <w:t>附件</w:t>
      </w:r>
      <w:r>
        <w:rPr>
          <w:rFonts w:hint="eastAsia" w:ascii="宋体" w:hAnsi="宋体" w:eastAsia="宋体" w:cs="Arial"/>
          <w:b/>
          <w:sz w:val="24"/>
        </w:rPr>
        <w:t>6</w:t>
      </w:r>
      <w:r>
        <w:rPr>
          <w:rFonts w:ascii="宋体" w:hAnsi="宋体" w:eastAsia="宋体" w:cs="Arial"/>
          <w:b/>
          <w:sz w:val="24"/>
        </w:rPr>
        <w:t xml:space="preserve"> 月饼模具免费配套</w:t>
      </w:r>
      <w:r>
        <w:rPr>
          <w:rFonts w:hint="eastAsia" w:ascii="宋体" w:hAnsi="宋体" w:eastAsia="宋体" w:cs="Arial"/>
          <w:b/>
          <w:sz w:val="24"/>
        </w:rPr>
        <w:t>承诺函</w:t>
      </w:r>
    </w:p>
    <w:p w14:paraId="2D5F12E4">
      <w:pPr>
        <w:spacing w:before="120" w:after="120" w:line="360" w:lineRule="auto"/>
        <w:ind w:firstLine="480" w:firstLineChars="200"/>
        <w:rPr>
          <w:rFonts w:hint="eastAsia" w:ascii="宋体" w:hAnsi="宋体" w:eastAsia="宋体"/>
          <w:sz w:val="24"/>
        </w:rPr>
      </w:pPr>
      <w:r>
        <w:rPr>
          <w:rFonts w:ascii="宋体" w:hAnsi="宋体" w:eastAsia="宋体" w:cs="Arial"/>
          <w:sz w:val="24"/>
        </w:rPr>
        <w:t>致：广州中大餐饮管理有限公司</w:t>
      </w:r>
      <w:r>
        <w:rPr>
          <w:rFonts w:hint="eastAsia" w:ascii="宋体" w:hAnsi="宋体" w:eastAsia="宋体" w:cs="Arial"/>
          <w:sz w:val="24"/>
        </w:rPr>
        <w:t>、广州中大康乐园餐饮有限公司</w:t>
      </w:r>
    </w:p>
    <w:p w14:paraId="33647B69">
      <w:pPr>
        <w:spacing w:before="120" w:after="120" w:line="360" w:lineRule="auto"/>
        <w:ind w:firstLine="480" w:firstLineChars="200"/>
        <w:rPr>
          <w:rFonts w:hint="eastAsia" w:ascii="宋体" w:hAnsi="宋体" w:eastAsia="宋体" w:cs="Arial"/>
          <w:sz w:val="24"/>
        </w:rPr>
      </w:pPr>
      <w:r>
        <w:rPr>
          <w:rFonts w:hint="eastAsia" w:ascii="宋体" w:hAnsi="宋体" w:eastAsia="宋体" w:cs="Arial"/>
          <w:sz w:val="24"/>
        </w:rPr>
        <w:t>本单位__________（供应商名称），统一社会信用代码：__________，现就参与贵单位月饼供应相关事宜，郑重承诺如下：</w:t>
      </w:r>
    </w:p>
    <w:p w14:paraId="30DF4908">
      <w:pPr>
        <w:spacing w:before="120" w:after="120" w:line="360" w:lineRule="auto"/>
        <w:ind w:firstLine="480" w:firstLineChars="200"/>
        <w:rPr>
          <w:rFonts w:hint="eastAsia" w:ascii="宋体" w:hAnsi="宋体" w:eastAsia="宋体" w:cs="Arial"/>
          <w:sz w:val="24"/>
        </w:rPr>
      </w:pPr>
      <w:r>
        <w:rPr>
          <w:rFonts w:hint="eastAsia" w:ascii="宋体" w:hAnsi="宋体" w:eastAsia="宋体" w:cs="Arial"/>
          <w:sz w:val="24"/>
        </w:rPr>
        <w:t>若</w:t>
      </w:r>
      <w:r>
        <w:rPr>
          <w:rFonts w:ascii="宋体" w:hAnsi="宋体" w:eastAsia="宋体" w:cs="Arial"/>
          <w:sz w:val="24"/>
        </w:rPr>
        <w:t>我方</w:t>
      </w:r>
      <w:r>
        <w:rPr>
          <w:rFonts w:hint="eastAsia" w:ascii="宋体" w:hAnsi="宋体" w:eastAsia="宋体" w:cs="Arial"/>
          <w:sz w:val="24"/>
        </w:rPr>
        <w:t>中选</w:t>
      </w:r>
      <w:r>
        <w:rPr>
          <w:rFonts w:ascii="宋体" w:hAnsi="宋体" w:eastAsia="宋体" w:cs="Arial"/>
          <w:sz w:val="24"/>
        </w:rPr>
        <w:t>，将免费提供匹配本项目所有月饼规格的专用成型模具，待全部月饼供货完成交付后[ ]日内另行交付至采购人指定地点，不额外收取任何费用。若未能按此承诺交付，我方愿按本项目合同违约条款承担相应责任</w:t>
      </w:r>
      <w:r>
        <w:rPr>
          <w:rFonts w:hint="eastAsia" w:ascii="宋体" w:hAnsi="宋体" w:eastAsia="宋体" w:cs="Arial"/>
          <w:sz w:val="24"/>
        </w:rPr>
        <w:t>。</w:t>
      </w:r>
    </w:p>
    <w:p w14:paraId="0101823D">
      <w:pPr>
        <w:pStyle w:val="12"/>
        <w:spacing w:before="120" w:after="120" w:line="360" w:lineRule="auto"/>
        <w:ind w:left="567" w:firstLine="0" w:firstLineChars="0"/>
        <w:rPr>
          <w:rFonts w:hint="eastAsia" w:ascii="宋体" w:hAnsi="宋体" w:eastAsia="宋体" w:cs="Arial"/>
          <w:sz w:val="24"/>
        </w:rPr>
      </w:pPr>
      <w:r>
        <w:rPr>
          <w:rFonts w:hint="eastAsia" w:ascii="宋体" w:hAnsi="宋体" w:eastAsia="宋体" w:cs="Arial"/>
          <w:sz w:val="24"/>
        </w:rPr>
        <w:t>特此承诺。</w:t>
      </w:r>
    </w:p>
    <w:p w14:paraId="31EE18D5">
      <w:pPr>
        <w:spacing w:before="120" w:after="120" w:line="360" w:lineRule="auto"/>
        <w:ind w:firstLine="480" w:firstLineChars="200"/>
        <w:jc w:val="right"/>
        <w:rPr>
          <w:rFonts w:hint="eastAsia" w:ascii="宋体" w:hAnsi="宋体" w:eastAsia="宋体"/>
          <w:sz w:val="24"/>
        </w:rPr>
      </w:pPr>
      <w:r>
        <w:rPr>
          <w:rFonts w:ascii="宋体" w:hAnsi="宋体" w:eastAsia="宋体" w:cs="Arial"/>
          <w:sz w:val="24"/>
        </w:rPr>
        <w:t>供应商（加盖公章）：________________________</w:t>
      </w:r>
    </w:p>
    <w:p w14:paraId="163B5F7A">
      <w:pPr>
        <w:spacing w:before="120" w:after="120" w:line="360" w:lineRule="auto"/>
        <w:ind w:firstLine="480" w:firstLineChars="200"/>
        <w:jc w:val="right"/>
        <w:rPr>
          <w:rFonts w:hint="eastAsia" w:ascii="宋体" w:hAnsi="宋体" w:eastAsia="宋体"/>
          <w:sz w:val="24"/>
        </w:rPr>
      </w:pPr>
      <w:r>
        <w:rPr>
          <w:rFonts w:ascii="宋体" w:hAnsi="宋体" w:eastAsia="宋体" w:cs="Arial"/>
          <w:sz w:val="24"/>
        </w:rPr>
        <w:t>法定代表人/委托代理人（签字）：________________________</w:t>
      </w:r>
    </w:p>
    <w:p w14:paraId="7ECA7DDB">
      <w:pPr>
        <w:spacing w:before="120" w:after="120" w:line="360" w:lineRule="auto"/>
        <w:ind w:firstLine="480" w:firstLineChars="200"/>
        <w:jc w:val="right"/>
        <w:rPr>
          <w:rFonts w:hint="eastAsia" w:ascii="宋体" w:hAnsi="宋体" w:eastAsia="宋体" w:cs="Arial"/>
          <w:sz w:val="24"/>
        </w:rPr>
      </w:pPr>
      <w:r>
        <w:rPr>
          <w:rFonts w:ascii="宋体" w:hAnsi="宋体" w:eastAsia="宋体" w:cs="Arial"/>
          <w:sz w:val="24"/>
        </w:rPr>
        <w:t>日    期：____年____月____日</w:t>
      </w:r>
    </w:p>
    <w:p w14:paraId="285DF4A6">
      <w:pPr>
        <w:spacing w:before="120" w:after="120" w:line="360" w:lineRule="auto"/>
        <w:ind w:firstLine="480" w:firstLineChars="200"/>
        <w:jc w:val="right"/>
        <w:rPr>
          <w:rFonts w:hint="eastAsia" w:ascii="宋体" w:hAnsi="宋体" w:eastAsia="宋体" w:cs="Arial"/>
          <w:sz w:val="24"/>
        </w:rPr>
      </w:pPr>
    </w:p>
    <w:p w14:paraId="00B29AC9">
      <w:pPr>
        <w:spacing w:before="120" w:after="120" w:line="360" w:lineRule="auto"/>
        <w:ind w:firstLine="480" w:firstLineChars="200"/>
        <w:jc w:val="right"/>
        <w:rPr>
          <w:rFonts w:hint="eastAsia" w:ascii="宋体" w:hAnsi="宋体" w:eastAsia="宋体" w:cs="Arial"/>
          <w:sz w:val="24"/>
        </w:rPr>
      </w:pPr>
    </w:p>
    <w:p w14:paraId="45593EDB">
      <w:pPr>
        <w:spacing w:before="320" w:after="120" w:line="360" w:lineRule="auto"/>
        <w:ind w:firstLine="482" w:firstLineChars="200"/>
        <w:outlineLvl w:val="1"/>
        <w:rPr>
          <w:rFonts w:hint="eastAsia" w:ascii="宋体" w:hAnsi="宋体" w:eastAsia="宋体" w:cs="Arial"/>
          <w:b/>
          <w:sz w:val="24"/>
        </w:rPr>
      </w:pPr>
      <w:bookmarkStart w:id="60" w:name="_GoBack"/>
      <w:bookmarkEnd w:id="60"/>
      <w:r>
        <w:rPr>
          <w:rFonts w:ascii="宋体" w:hAnsi="宋体" w:eastAsia="宋体" w:cs="Arial"/>
          <w:b/>
          <w:sz w:val="24"/>
        </w:rPr>
        <w:t>附件</w:t>
      </w:r>
      <w:r>
        <w:rPr>
          <w:rFonts w:hint="eastAsia" w:ascii="宋体" w:hAnsi="宋体" w:eastAsia="宋体" w:cs="Arial"/>
          <w:b/>
          <w:sz w:val="24"/>
        </w:rPr>
        <w:t>7</w:t>
      </w:r>
      <w:r>
        <w:rPr>
          <w:rFonts w:ascii="宋体" w:hAnsi="宋体" w:eastAsia="宋体" w:cs="Arial"/>
          <w:b/>
          <w:sz w:val="24"/>
        </w:rPr>
        <w:t xml:space="preserve"> 报价函</w:t>
      </w:r>
    </w:p>
    <w:p w14:paraId="0BCD2F4E">
      <w:pPr>
        <w:spacing w:before="120" w:after="120" w:line="360" w:lineRule="auto"/>
        <w:ind w:firstLine="480" w:firstLineChars="200"/>
        <w:rPr>
          <w:rFonts w:hint="eastAsia" w:ascii="宋体" w:hAnsi="宋体" w:eastAsia="宋体"/>
          <w:sz w:val="24"/>
        </w:rPr>
      </w:pPr>
      <w:r>
        <w:rPr>
          <w:rFonts w:ascii="宋体" w:hAnsi="宋体" w:eastAsia="宋体" w:cs="Arial"/>
          <w:sz w:val="24"/>
        </w:rPr>
        <w:t>致：广州中大餐饮管理有限公司</w:t>
      </w:r>
      <w:r>
        <w:rPr>
          <w:rFonts w:hint="eastAsia" w:ascii="宋体" w:hAnsi="宋体" w:eastAsia="宋体" w:cs="Arial"/>
          <w:sz w:val="24"/>
        </w:rPr>
        <w:t>、广州中大康乐园餐饮有限公司</w:t>
      </w:r>
    </w:p>
    <w:p w14:paraId="599C6B59">
      <w:pPr>
        <w:spacing w:before="120" w:after="120" w:line="360" w:lineRule="auto"/>
        <w:ind w:firstLine="480" w:firstLineChars="200"/>
        <w:rPr>
          <w:rFonts w:hint="eastAsia" w:ascii="宋体" w:hAnsi="宋体" w:eastAsia="宋体"/>
          <w:sz w:val="24"/>
        </w:rPr>
      </w:pPr>
      <w:r>
        <w:rPr>
          <w:rFonts w:ascii="宋体" w:hAnsi="宋体" w:eastAsia="宋体" w:cs="Arial"/>
          <w:sz w:val="24"/>
        </w:rPr>
        <w:t>我方已仔细研究</w:t>
      </w:r>
      <w:r>
        <w:rPr>
          <w:rFonts w:ascii="宋体" w:hAnsi="宋体" w:eastAsia="宋体" w:cs="Arial"/>
          <w:b/>
          <w:sz w:val="24"/>
        </w:rPr>
        <w:t>中大餐饮、康乐园餐饮2026年</w:t>
      </w:r>
      <w:r>
        <w:rPr>
          <w:rFonts w:hint="eastAsia" w:ascii="宋体" w:hAnsi="宋体" w:eastAsia="宋体" w:cs="Arial"/>
          <w:b/>
          <w:sz w:val="24"/>
        </w:rPr>
        <w:t>中秋月饼</w:t>
      </w:r>
      <w:r>
        <w:rPr>
          <w:rFonts w:ascii="宋体" w:hAnsi="宋体" w:eastAsia="宋体" w:cs="Arial"/>
          <w:b/>
          <w:sz w:val="24"/>
        </w:rPr>
        <w:t>采购项目</w:t>
      </w:r>
      <w:r>
        <w:rPr>
          <w:rFonts w:ascii="宋体" w:hAnsi="宋体" w:eastAsia="宋体" w:cs="Arial"/>
          <w:b/>
          <w:color w:val="0D0D0D" w:themeColor="text1" w:themeTint="F2"/>
          <w:sz w:val="24"/>
          <w14:textFill>
            <w14:solidFill>
              <w14:schemeClr w14:val="tx1">
                <w14:lumMod w14:val="95000"/>
                <w14:lumOff w14:val="5000"/>
              </w14:schemeClr>
            </w14:solidFill>
          </w14:textFill>
        </w:rPr>
        <w:t>（子包X：______）</w:t>
      </w:r>
      <w:r>
        <w:rPr>
          <w:rFonts w:ascii="宋体" w:hAnsi="宋体" w:eastAsia="宋体" w:cs="Arial"/>
          <w:color w:val="0D0D0D" w:themeColor="text1" w:themeTint="F2"/>
          <w:sz w:val="24"/>
          <w14:textFill>
            <w14:solidFill>
              <w14:schemeClr w14:val="tx1">
                <w14:lumMod w14:val="95000"/>
                <w14:lumOff w14:val="5000"/>
              </w14:schemeClr>
            </w14:solidFill>
          </w14:textFill>
        </w:rPr>
        <w:t xml:space="preserve"> </w:t>
      </w:r>
      <w:r>
        <w:rPr>
          <w:rFonts w:ascii="宋体" w:hAnsi="宋体" w:eastAsia="宋体" w:cs="Arial"/>
          <w:sz w:val="24"/>
        </w:rPr>
        <w:t>遴选文件全部内容，自愿参与本项目遴选，现郑重报价：</w:t>
      </w:r>
    </w:p>
    <w:p w14:paraId="60CF0F05">
      <w:pPr>
        <w:numPr>
          <w:ilvl w:val="0"/>
          <w:numId w:val="26"/>
        </w:numPr>
        <w:spacing w:before="120" w:after="120" w:line="360" w:lineRule="auto"/>
        <w:ind w:firstLine="480" w:firstLineChars="200"/>
        <w:rPr>
          <w:rFonts w:hint="eastAsia" w:ascii="宋体" w:hAnsi="宋体" w:eastAsia="宋体"/>
          <w:sz w:val="24"/>
        </w:rPr>
      </w:pPr>
      <w:r>
        <w:rPr>
          <w:rFonts w:ascii="宋体" w:hAnsi="宋体" w:eastAsia="宋体" w:cs="Arial"/>
          <w:sz w:val="24"/>
        </w:rPr>
        <w:t>我方针对</w:t>
      </w:r>
      <w:r>
        <w:rPr>
          <w:rFonts w:hint="eastAsia" w:ascii="宋体" w:hAnsi="宋体" w:eastAsia="宋体" w:cs="Arial"/>
          <w:sz w:val="24"/>
        </w:rPr>
        <w:t>项目</w:t>
      </w:r>
      <w:r>
        <w:rPr>
          <w:rFonts w:ascii="宋体" w:hAnsi="宋体" w:eastAsia="宋体" w:cs="Arial"/>
          <w:sz w:val="24"/>
        </w:rPr>
        <w:t>所有物资的报价为</w:t>
      </w:r>
      <w:r>
        <w:rPr>
          <w:rFonts w:ascii="宋体" w:hAnsi="宋体" w:eastAsia="宋体" w:cs="Arial"/>
          <w:b/>
          <w:sz w:val="24"/>
        </w:rPr>
        <w:t>综合包干价</w:t>
      </w:r>
      <w:r>
        <w:rPr>
          <w:rFonts w:ascii="宋体" w:hAnsi="宋体" w:eastAsia="宋体" w:cs="Arial"/>
          <w:sz w:val="24"/>
        </w:rPr>
        <w:t>，</w:t>
      </w:r>
      <w:r>
        <w:rPr>
          <w:rFonts w:hint="eastAsia" w:ascii="宋体" w:hAnsi="宋体" w:eastAsia="宋体" w:cs="Arial"/>
          <w:sz w:val="24"/>
        </w:rPr>
        <w:t>总金额</w:t>
      </w:r>
      <w:r>
        <w:rPr>
          <w:rFonts w:ascii="宋体" w:hAnsi="宋体" w:eastAsia="宋体" w:cs="Arial"/>
          <w:sz w:val="24"/>
        </w:rPr>
        <w:t>不超过遴选文件限价，具体详见报价清单；</w:t>
      </w:r>
      <w:r>
        <w:rPr>
          <w:rFonts w:hint="eastAsia" w:ascii="宋体" w:hAnsi="宋体" w:eastAsia="宋体" w:cs="Arial"/>
          <w:sz w:val="24"/>
        </w:rPr>
        <w:t>报价清单报价作为采购方供货价定价参考，</w:t>
      </w:r>
      <w:r>
        <w:rPr>
          <w:rFonts w:hint="eastAsia" w:ascii="宋体" w:hAnsi="宋体" w:eastAsia="宋体" w:cs="Arial"/>
          <w:b/>
          <w:bCs/>
          <w:sz w:val="24"/>
        </w:rPr>
        <w:t>合同期内价格固定不调整</w:t>
      </w:r>
      <w:r>
        <w:rPr>
          <w:rFonts w:hint="eastAsia" w:ascii="宋体" w:hAnsi="宋体" w:eastAsia="宋体" w:cs="Arial"/>
          <w:sz w:val="24"/>
        </w:rPr>
        <w:t>，供应商自行承担市场价格波动带来的影响。</w:t>
      </w:r>
    </w:p>
    <w:p w14:paraId="02801CEB">
      <w:pPr>
        <w:numPr>
          <w:ilvl w:val="0"/>
          <w:numId w:val="26"/>
        </w:numPr>
        <w:spacing w:before="120" w:after="120" w:line="360" w:lineRule="auto"/>
        <w:ind w:firstLine="480" w:firstLineChars="200"/>
        <w:rPr>
          <w:rFonts w:hint="eastAsia" w:ascii="宋体" w:hAnsi="宋体" w:eastAsia="宋体"/>
          <w:sz w:val="24"/>
        </w:rPr>
      </w:pPr>
      <w:r>
        <w:rPr>
          <w:rFonts w:ascii="宋体" w:hAnsi="宋体" w:eastAsia="宋体" w:cs="Arial"/>
          <w:sz w:val="24"/>
        </w:rPr>
        <w:t>我方承诺按遴选文件要求提供合格物资及配送服务；</w:t>
      </w:r>
    </w:p>
    <w:p w14:paraId="07E21EA5">
      <w:pPr>
        <w:numPr>
          <w:ilvl w:val="0"/>
          <w:numId w:val="26"/>
        </w:numPr>
        <w:spacing w:before="120" w:after="120" w:line="360" w:lineRule="auto"/>
        <w:ind w:firstLine="480" w:firstLineChars="200"/>
        <w:rPr>
          <w:rFonts w:hint="eastAsia" w:ascii="宋体" w:hAnsi="宋体" w:eastAsia="宋体"/>
          <w:sz w:val="24"/>
        </w:rPr>
      </w:pPr>
      <w:r>
        <w:rPr>
          <w:rFonts w:ascii="宋体" w:hAnsi="宋体" w:eastAsia="宋体" w:cs="Arial"/>
          <w:sz w:val="24"/>
        </w:rPr>
        <w:t>我方承诺若中选，按要求严格履行合同义务；</w:t>
      </w:r>
    </w:p>
    <w:p w14:paraId="08BE470F">
      <w:pPr>
        <w:numPr>
          <w:ilvl w:val="0"/>
          <w:numId w:val="26"/>
        </w:numPr>
        <w:spacing w:before="120" w:after="120" w:line="360" w:lineRule="auto"/>
        <w:ind w:firstLine="480" w:firstLineChars="200"/>
        <w:rPr>
          <w:rFonts w:hint="eastAsia" w:ascii="宋体" w:hAnsi="宋体" w:eastAsia="宋体"/>
          <w:sz w:val="24"/>
        </w:rPr>
      </w:pPr>
      <w:r>
        <w:rPr>
          <w:rFonts w:ascii="宋体" w:hAnsi="宋体" w:eastAsia="宋体" w:cs="Arial"/>
          <w:sz w:val="24"/>
        </w:rPr>
        <w:t>我方同意遴选文件的所有条款，接受评审办法，若中选，按遴选结果及相关规定签订合同。</w:t>
      </w:r>
    </w:p>
    <w:p w14:paraId="06B8CDE1">
      <w:pPr>
        <w:spacing w:before="120" w:after="120" w:line="360" w:lineRule="auto"/>
        <w:ind w:firstLine="480" w:firstLineChars="200"/>
        <w:jc w:val="right"/>
        <w:rPr>
          <w:rFonts w:hint="eastAsia" w:ascii="宋体" w:hAnsi="宋体" w:eastAsia="宋体"/>
          <w:sz w:val="24"/>
        </w:rPr>
      </w:pPr>
      <w:r>
        <w:rPr>
          <w:rFonts w:ascii="宋体" w:hAnsi="宋体" w:eastAsia="宋体" w:cs="Arial"/>
          <w:sz w:val="24"/>
        </w:rPr>
        <w:t>供应商（加盖公章）：________________________</w:t>
      </w:r>
    </w:p>
    <w:p w14:paraId="7ABEE73C">
      <w:pPr>
        <w:spacing w:before="120" w:after="120" w:line="360" w:lineRule="auto"/>
        <w:ind w:firstLine="480" w:firstLineChars="200"/>
        <w:jc w:val="right"/>
        <w:rPr>
          <w:rFonts w:hint="eastAsia" w:ascii="宋体" w:hAnsi="宋体" w:eastAsia="宋体"/>
          <w:sz w:val="24"/>
        </w:rPr>
      </w:pPr>
      <w:r>
        <w:rPr>
          <w:rFonts w:ascii="宋体" w:hAnsi="宋体" w:eastAsia="宋体" w:cs="Arial"/>
          <w:sz w:val="24"/>
        </w:rPr>
        <w:t>法定代表人/委托代理人（签字）：________________________</w:t>
      </w:r>
    </w:p>
    <w:p w14:paraId="08B9F26F">
      <w:pPr>
        <w:spacing w:before="120" w:after="120" w:line="360" w:lineRule="auto"/>
        <w:ind w:firstLine="480" w:firstLineChars="200"/>
        <w:jc w:val="right"/>
        <w:rPr>
          <w:rFonts w:hint="eastAsia" w:ascii="宋体" w:hAnsi="宋体" w:eastAsia="宋体"/>
          <w:sz w:val="24"/>
        </w:rPr>
      </w:pPr>
      <w:r>
        <w:rPr>
          <w:rFonts w:ascii="宋体" w:hAnsi="宋体" w:eastAsia="宋体" w:cs="Arial"/>
          <w:sz w:val="24"/>
        </w:rPr>
        <w:t>日    期：____年____月____日</w:t>
      </w:r>
    </w:p>
    <w:p w14:paraId="19227DF3">
      <w:pPr>
        <w:spacing w:before="120" w:after="120" w:line="360" w:lineRule="auto"/>
        <w:ind w:firstLine="480" w:firstLineChars="200"/>
        <w:jc w:val="right"/>
        <w:rPr>
          <w:rFonts w:hint="eastAsia" w:ascii="宋体" w:hAnsi="宋体" w:eastAsia="宋体" w:cs="Arial"/>
          <w:sz w:val="24"/>
        </w:rPr>
      </w:pPr>
    </w:p>
    <w:p w14:paraId="5DB94BCD">
      <w:pPr>
        <w:spacing w:before="320" w:after="120" w:line="360" w:lineRule="auto"/>
        <w:ind w:firstLine="482" w:firstLineChars="200"/>
        <w:outlineLvl w:val="1"/>
        <w:rPr>
          <w:rFonts w:hint="eastAsia" w:ascii="宋体" w:hAnsi="宋体" w:eastAsia="宋体" w:cs="Arial"/>
          <w:b/>
          <w:sz w:val="24"/>
        </w:rPr>
      </w:pPr>
      <w:r>
        <w:rPr>
          <w:rFonts w:ascii="宋体" w:hAnsi="宋体" w:eastAsia="宋体" w:cs="Arial"/>
          <w:b/>
          <w:sz w:val="24"/>
        </w:rPr>
        <w:t>附件</w:t>
      </w:r>
      <w:r>
        <w:rPr>
          <w:rFonts w:hint="eastAsia" w:ascii="宋体" w:hAnsi="宋体" w:eastAsia="宋体" w:cs="Arial"/>
          <w:b/>
          <w:sz w:val="24"/>
        </w:rPr>
        <w:t>8</w:t>
      </w:r>
      <w:r>
        <w:rPr>
          <w:rFonts w:ascii="宋体" w:hAnsi="宋体" w:eastAsia="宋体" w:cs="Arial"/>
          <w:b/>
          <w:sz w:val="24"/>
        </w:rPr>
        <w:t xml:space="preserve"> 报价清单</w:t>
      </w:r>
      <w:bookmarkEnd w:id="57"/>
    </w:p>
    <w:p w14:paraId="289DEBC3">
      <w:pPr>
        <w:spacing w:before="120" w:after="120" w:line="360" w:lineRule="auto"/>
        <w:ind w:firstLine="480" w:firstLineChars="200"/>
        <w:jc w:val="center"/>
        <w:rPr>
          <w:rFonts w:hint="eastAsia" w:ascii="宋体" w:hAnsi="宋体" w:eastAsia="宋体" w:cs="Arial"/>
          <w:sz w:val="24"/>
        </w:rPr>
      </w:pPr>
      <w:r>
        <w:rPr>
          <w:rFonts w:hint="eastAsia" w:ascii="宋体" w:hAnsi="宋体" w:eastAsia="宋体" w:cs="Arial"/>
          <w:sz w:val="24"/>
        </w:rPr>
        <w:t>中大餐饮、康乐园餐饮2026年中秋月饼采购项目报价清单</w:t>
      </w:r>
    </w:p>
    <w:bookmarkEnd w:id="58"/>
    <w:p w14:paraId="7AF9F743">
      <w:pPr>
        <w:spacing w:before="120" w:after="120" w:line="360" w:lineRule="auto"/>
        <w:rPr>
          <w:rFonts w:hint="eastAsia" w:ascii="宋体" w:hAnsi="宋体" w:eastAsia="宋体" w:cs="Arial"/>
          <w:sz w:val="24"/>
        </w:rPr>
      </w:pPr>
      <w:r>
        <w:rPr>
          <w:rFonts w:hint="eastAsia" w:ascii="宋体" w:hAnsi="宋体" w:eastAsia="宋体" w:cs="Arial"/>
          <w:sz w:val="24"/>
        </w:rPr>
        <w:t>子包一（传统口味）：</w:t>
      </w:r>
    </w:p>
    <w:tbl>
      <w:tblPr>
        <w:tblStyle w:val="8"/>
        <w:tblW w:w="9351" w:type="dxa"/>
        <w:jc w:val="center"/>
        <w:tblLayout w:type="fixed"/>
        <w:tblCellMar>
          <w:top w:w="0" w:type="dxa"/>
          <w:left w:w="108" w:type="dxa"/>
          <w:bottom w:w="0" w:type="dxa"/>
          <w:right w:w="108" w:type="dxa"/>
        </w:tblCellMar>
      </w:tblPr>
      <w:tblGrid>
        <w:gridCol w:w="709"/>
        <w:gridCol w:w="1980"/>
        <w:gridCol w:w="998"/>
        <w:gridCol w:w="8"/>
        <w:gridCol w:w="1107"/>
        <w:gridCol w:w="1430"/>
        <w:gridCol w:w="1276"/>
        <w:gridCol w:w="1843"/>
      </w:tblGrid>
      <w:tr w14:paraId="7DADD12A">
        <w:tblPrEx>
          <w:tblCellMar>
            <w:top w:w="0" w:type="dxa"/>
            <w:left w:w="108" w:type="dxa"/>
            <w:bottom w:w="0" w:type="dxa"/>
            <w:right w:w="108" w:type="dxa"/>
          </w:tblCellMar>
        </w:tblPrEx>
        <w:trPr>
          <w:trHeight w:val="561" w:hRule="atLeast"/>
          <w:jc w:val="center"/>
        </w:trPr>
        <w:tc>
          <w:tcPr>
            <w:tcW w:w="709" w:type="dxa"/>
            <w:vMerge w:val="restart"/>
            <w:tcBorders>
              <w:top w:val="single" w:color="auto" w:sz="4" w:space="0"/>
              <w:left w:val="single" w:color="auto" w:sz="4" w:space="0"/>
              <w:bottom w:val="single" w:color="auto" w:sz="4" w:space="0"/>
              <w:right w:val="single" w:color="auto" w:sz="4" w:space="0"/>
            </w:tcBorders>
            <w:noWrap/>
            <w:vAlign w:val="center"/>
          </w:tcPr>
          <w:p w14:paraId="628FCB4F">
            <w:pPr>
              <w:widowControl/>
              <w:jc w:val="center"/>
              <w:textAlignment w:val="center"/>
              <w:rPr>
                <w:rFonts w:hint="eastAsia" w:ascii="宋体" w:hAnsi="宋体" w:eastAsia="宋体" w:cs="宋体"/>
                <w:b/>
                <w:bCs/>
                <w:color w:val="000000"/>
                <w:szCs w:val="21"/>
              </w:rPr>
            </w:pPr>
            <w:bookmarkStart w:id="59" w:name="_Hlk202349787"/>
            <w:r>
              <w:rPr>
                <w:rFonts w:hint="eastAsia" w:ascii="宋体" w:hAnsi="宋体" w:eastAsia="宋体" w:cs="宋体"/>
                <w:b/>
                <w:bCs/>
                <w:color w:val="000000"/>
                <w:kern w:val="0"/>
                <w:szCs w:val="21"/>
                <w:lang w:bidi="ar"/>
              </w:rPr>
              <w:t>序号</w:t>
            </w:r>
          </w:p>
        </w:tc>
        <w:tc>
          <w:tcPr>
            <w:tcW w:w="1980" w:type="dxa"/>
            <w:vMerge w:val="restart"/>
            <w:tcBorders>
              <w:top w:val="single" w:color="auto" w:sz="4" w:space="0"/>
              <w:left w:val="single" w:color="auto" w:sz="4" w:space="0"/>
              <w:bottom w:val="single" w:color="auto" w:sz="4" w:space="0"/>
              <w:right w:val="single" w:color="auto" w:sz="4" w:space="0"/>
            </w:tcBorders>
            <w:noWrap/>
            <w:vAlign w:val="center"/>
          </w:tcPr>
          <w:p w14:paraId="41778D36">
            <w:pPr>
              <w:widowControl/>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lang w:bidi="ar"/>
              </w:rPr>
              <w:t xml:space="preserve">品 </w:t>
            </w:r>
            <w:r>
              <w:rPr>
                <w:rStyle w:val="19"/>
                <w:rFonts w:hint="default"/>
                <w:lang w:bidi="ar"/>
              </w:rPr>
              <w:t xml:space="preserve"> 种</w:t>
            </w:r>
          </w:p>
        </w:tc>
        <w:tc>
          <w:tcPr>
            <w:tcW w:w="998" w:type="dxa"/>
            <w:vMerge w:val="restart"/>
            <w:tcBorders>
              <w:top w:val="single" w:color="auto" w:sz="4" w:space="0"/>
              <w:left w:val="single" w:color="auto" w:sz="4" w:space="0"/>
              <w:bottom w:val="single" w:color="auto" w:sz="4" w:space="0"/>
              <w:right w:val="single" w:color="auto" w:sz="4" w:space="0"/>
            </w:tcBorders>
            <w:vAlign w:val="center"/>
          </w:tcPr>
          <w:p w14:paraId="68D5CEED">
            <w:pPr>
              <w:widowControl/>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lang w:bidi="ar"/>
              </w:rPr>
              <w:t>规格</w:t>
            </w:r>
          </w:p>
        </w:tc>
        <w:tc>
          <w:tcPr>
            <w:tcW w:w="1115" w:type="dxa"/>
            <w:gridSpan w:val="2"/>
            <w:tcBorders>
              <w:top w:val="single" w:color="auto" w:sz="4" w:space="0"/>
              <w:left w:val="single" w:color="auto" w:sz="4" w:space="0"/>
              <w:bottom w:val="single" w:color="auto" w:sz="4" w:space="0"/>
              <w:right w:val="single" w:color="auto" w:sz="4" w:space="0"/>
            </w:tcBorders>
            <w:vAlign w:val="center"/>
          </w:tcPr>
          <w:p w14:paraId="6D704997">
            <w:pPr>
              <w:widowControl/>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lang w:bidi="ar"/>
              </w:rPr>
              <w:t>中大餐饮</w:t>
            </w:r>
          </w:p>
        </w:tc>
        <w:tc>
          <w:tcPr>
            <w:tcW w:w="1430" w:type="dxa"/>
            <w:tcBorders>
              <w:top w:val="single" w:color="auto" w:sz="4" w:space="0"/>
              <w:left w:val="single" w:color="auto" w:sz="4" w:space="0"/>
              <w:bottom w:val="single" w:color="auto" w:sz="4" w:space="0"/>
              <w:right w:val="single" w:color="auto" w:sz="4" w:space="0"/>
            </w:tcBorders>
            <w:vAlign w:val="center"/>
          </w:tcPr>
          <w:p w14:paraId="07C40A7D">
            <w:pPr>
              <w:widowControl/>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lang w:bidi="ar"/>
              </w:rPr>
              <w:t>康乐园餐饮</w:t>
            </w:r>
          </w:p>
        </w:tc>
        <w:tc>
          <w:tcPr>
            <w:tcW w:w="1276" w:type="dxa"/>
            <w:vMerge w:val="restart"/>
            <w:tcBorders>
              <w:top w:val="single" w:color="auto" w:sz="4" w:space="0"/>
              <w:left w:val="single" w:color="auto" w:sz="4" w:space="0"/>
              <w:right w:val="single" w:color="auto" w:sz="4" w:space="0"/>
            </w:tcBorders>
            <w:vAlign w:val="center"/>
          </w:tcPr>
          <w:p w14:paraId="06D30ECB">
            <w:pPr>
              <w:widowControl/>
              <w:jc w:val="center"/>
              <w:textAlignment w:val="center"/>
              <w:rPr>
                <w:rFonts w:hint="eastAsia" w:ascii="宋体" w:hAnsi="宋体" w:eastAsia="宋体" w:cs="宋体"/>
                <w:b/>
                <w:bCs/>
                <w:color w:val="000000"/>
                <w:kern w:val="0"/>
                <w:szCs w:val="21"/>
                <w:lang w:bidi="ar"/>
              </w:rPr>
            </w:pPr>
            <w:r>
              <w:rPr>
                <w:rFonts w:hint="eastAsia" w:ascii="宋体" w:hAnsi="宋体" w:eastAsia="宋体" w:cs="宋体"/>
                <w:b/>
                <w:bCs/>
                <w:color w:val="000000"/>
                <w:kern w:val="0"/>
                <w:szCs w:val="21"/>
                <w:lang w:bidi="ar"/>
              </w:rPr>
              <w:t>含税单价（元/个）</w:t>
            </w:r>
          </w:p>
        </w:tc>
        <w:tc>
          <w:tcPr>
            <w:tcW w:w="1843" w:type="dxa"/>
            <w:vMerge w:val="restart"/>
            <w:tcBorders>
              <w:top w:val="single" w:color="auto" w:sz="4" w:space="0"/>
              <w:left w:val="single" w:color="auto" w:sz="4" w:space="0"/>
              <w:bottom w:val="single" w:color="auto" w:sz="4" w:space="0"/>
              <w:right w:val="single" w:color="auto" w:sz="4" w:space="0"/>
            </w:tcBorders>
            <w:vAlign w:val="center"/>
          </w:tcPr>
          <w:p w14:paraId="69EB29C1">
            <w:pPr>
              <w:widowControl/>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lang w:bidi="ar"/>
              </w:rPr>
              <w:t>主要成分</w:t>
            </w:r>
          </w:p>
        </w:tc>
      </w:tr>
      <w:tr w14:paraId="7CC913BD">
        <w:tblPrEx>
          <w:tblCellMar>
            <w:top w:w="0" w:type="dxa"/>
            <w:left w:w="108" w:type="dxa"/>
            <w:bottom w:w="0" w:type="dxa"/>
            <w:right w:w="108" w:type="dxa"/>
          </w:tblCellMar>
        </w:tblPrEx>
        <w:trPr>
          <w:trHeight w:val="876" w:hRule="atLeast"/>
          <w:jc w:val="center"/>
        </w:trPr>
        <w:tc>
          <w:tcPr>
            <w:tcW w:w="709" w:type="dxa"/>
            <w:vMerge w:val="continue"/>
            <w:tcBorders>
              <w:top w:val="single" w:color="auto" w:sz="4" w:space="0"/>
              <w:left w:val="single" w:color="auto" w:sz="4" w:space="0"/>
              <w:bottom w:val="single" w:color="auto" w:sz="4" w:space="0"/>
              <w:right w:val="single" w:color="auto" w:sz="4" w:space="0"/>
            </w:tcBorders>
            <w:noWrap/>
            <w:vAlign w:val="center"/>
          </w:tcPr>
          <w:p w14:paraId="103E225C">
            <w:pPr>
              <w:jc w:val="center"/>
              <w:rPr>
                <w:rFonts w:hint="eastAsia" w:ascii="宋体" w:hAnsi="宋体" w:eastAsia="宋体" w:cs="宋体"/>
                <w:b/>
                <w:bCs/>
                <w:color w:val="000000"/>
                <w:szCs w:val="21"/>
              </w:rPr>
            </w:pPr>
          </w:p>
        </w:tc>
        <w:tc>
          <w:tcPr>
            <w:tcW w:w="1980" w:type="dxa"/>
            <w:vMerge w:val="continue"/>
            <w:tcBorders>
              <w:top w:val="single" w:color="auto" w:sz="4" w:space="0"/>
              <w:left w:val="single" w:color="auto" w:sz="4" w:space="0"/>
              <w:bottom w:val="single" w:color="auto" w:sz="4" w:space="0"/>
              <w:right w:val="single" w:color="auto" w:sz="4" w:space="0"/>
            </w:tcBorders>
            <w:noWrap/>
            <w:vAlign w:val="center"/>
          </w:tcPr>
          <w:p w14:paraId="3AB8DEB1">
            <w:pPr>
              <w:jc w:val="center"/>
              <w:rPr>
                <w:rFonts w:hint="eastAsia" w:ascii="宋体" w:hAnsi="宋体" w:eastAsia="宋体" w:cs="宋体"/>
                <w:b/>
                <w:bCs/>
                <w:color w:val="000000"/>
                <w:szCs w:val="21"/>
              </w:rPr>
            </w:pPr>
          </w:p>
        </w:tc>
        <w:tc>
          <w:tcPr>
            <w:tcW w:w="998" w:type="dxa"/>
            <w:vMerge w:val="continue"/>
            <w:tcBorders>
              <w:top w:val="single" w:color="auto" w:sz="4" w:space="0"/>
              <w:left w:val="single" w:color="auto" w:sz="4" w:space="0"/>
              <w:bottom w:val="single" w:color="auto" w:sz="4" w:space="0"/>
              <w:right w:val="single" w:color="auto" w:sz="4" w:space="0"/>
            </w:tcBorders>
            <w:vAlign w:val="center"/>
          </w:tcPr>
          <w:p w14:paraId="07D21A18">
            <w:pPr>
              <w:jc w:val="center"/>
              <w:rPr>
                <w:rFonts w:hint="eastAsia" w:ascii="宋体" w:hAnsi="宋体" w:eastAsia="宋体" w:cs="宋体"/>
                <w:b/>
                <w:bCs/>
                <w:color w:val="000000"/>
                <w:szCs w:val="21"/>
              </w:rPr>
            </w:pPr>
          </w:p>
        </w:tc>
        <w:tc>
          <w:tcPr>
            <w:tcW w:w="1115" w:type="dxa"/>
            <w:gridSpan w:val="2"/>
            <w:tcBorders>
              <w:top w:val="single" w:color="auto" w:sz="4" w:space="0"/>
              <w:left w:val="single" w:color="auto" w:sz="4" w:space="0"/>
              <w:bottom w:val="single" w:color="auto" w:sz="4" w:space="0"/>
              <w:right w:val="single" w:color="auto" w:sz="4" w:space="0"/>
            </w:tcBorders>
            <w:vAlign w:val="center"/>
          </w:tcPr>
          <w:p w14:paraId="223FB32F">
            <w:pPr>
              <w:widowControl/>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lang w:bidi="ar"/>
              </w:rPr>
              <w:t>预估数量（个）</w:t>
            </w:r>
          </w:p>
        </w:tc>
        <w:tc>
          <w:tcPr>
            <w:tcW w:w="1430" w:type="dxa"/>
            <w:tcBorders>
              <w:top w:val="single" w:color="auto" w:sz="4" w:space="0"/>
              <w:left w:val="single" w:color="auto" w:sz="4" w:space="0"/>
              <w:bottom w:val="single" w:color="auto" w:sz="4" w:space="0"/>
              <w:right w:val="single" w:color="auto" w:sz="4" w:space="0"/>
            </w:tcBorders>
            <w:vAlign w:val="center"/>
          </w:tcPr>
          <w:p w14:paraId="00C9C8DA">
            <w:pPr>
              <w:widowControl/>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lang w:bidi="ar"/>
              </w:rPr>
              <w:t>预估数量（个）</w:t>
            </w:r>
          </w:p>
        </w:tc>
        <w:tc>
          <w:tcPr>
            <w:tcW w:w="1276" w:type="dxa"/>
            <w:vMerge w:val="continue"/>
            <w:tcBorders>
              <w:left w:val="single" w:color="auto" w:sz="4" w:space="0"/>
              <w:bottom w:val="single" w:color="auto" w:sz="4" w:space="0"/>
              <w:right w:val="single" w:color="auto" w:sz="4" w:space="0"/>
            </w:tcBorders>
            <w:vAlign w:val="center"/>
          </w:tcPr>
          <w:p w14:paraId="582AFE34">
            <w:pPr>
              <w:jc w:val="center"/>
              <w:rPr>
                <w:rFonts w:hint="eastAsia" w:ascii="宋体" w:hAnsi="宋体" w:eastAsia="宋体" w:cs="宋体"/>
                <w:b/>
                <w:bCs/>
                <w:color w:val="000000"/>
                <w:szCs w:val="21"/>
              </w:rPr>
            </w:pPr>
          </w:p>
        </w:tc>
        <w:tc>
          <w:tcPr>
            <w:tcW w:w="1843" w:type="dxa"/>
            <w:vMerge w:val="continue"/>
            <w:tcBorders>
              <w:top w:val="single" w:color="auto" w:sz="4" w:space="0"/>
              <w:left w:val="single" w:color="auto" w:sz="4" w:space="0"/>
              <w:bottom w:val="single" w:color="auto" w:sz="4" w:space="0"/>
              <w:right w:val="single" w:color="auto" w:sz="4" w:space="0"/>
            </w:tcBorders>
            <w:vAlign w:val="center"/>
          </w:tcPr>
          <w:p w14:paraId="0466F4C6">
            <w:pPr>
              <w:jc w:val="center"/>
              <w:rPr>
                <w:rFonts w:hint="eastAsia" w:ascii="宋体" w:hAnsi="宋体" w:eastAsia="宋体" w:cs="宋体"/>
                <w:b/>
                <w:bCs/>
                <w:color w:val="000000"/>
                <w:szCs w:val="21"/>
              </w:rPr>
            </w:pPr>
          </w:p>
        </w:tc>
      </w:tr>
      <w:bookmarkEnd w:id="59"/>
      <w:tr w14:paraId="5AEEDE18">
        <w:tblPrEx>
          <w:tblCellMar>
            <w:top w:w="0" w:type="dxa"/>
            <w:left w:w="108" w:type="dxa"/>
            <w:bottom w:w="0" w:type="dxa"/>
            <w:right w:w="108" w:type="dxa"/>
          </w:tblCellMar>
        </w:tblPrEx>
        <w:trPr>
          <w:trHeight w:val="796" w:hRule="atLeast"/>
          <w:jc w:val="center"/>
        </w:trPr>
        <w:tc>
          <w:tcPr>
            <w:tcW w:w="709" w:type="dxa"/>
            <w:tcBorders>
              <w:top w:val="single" w:color="000000" w:sz="4" w:space="0"/>
              <w:left w:val="single" w:color="000000" w:sz="4" w:space="0"/>
              <w:bottom w:val="single" w:color="000000" w:sz="4" w:space="0"/>
              <w:right w:val="single" w:color="000000" w:sz="4" w:space="0"/>
            </w:tcBorders>
            <w:noWrap/>
            <w:vAlign w:val="center"/>
          </w:tcPr>
          <w:p w14:paraId="49072243">
            <w:pP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198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1BA2DB2">
            <w:pPr>
              <w:widowControl/>
              <w:jc w:val="center"/>
              <w:textAlignment w:val="center"/>
              <w:rPr>
                <w:rFonts w:hint="eastAsia" w:ascii="宋体" w:hAnsi="宋体" w:eastAsia="宋体" w:cs="宋体"/>
                <w:color w:val="000000"/>
                <w:szCs w:val="21"/>
              </w:rPr>
            </w:pPr>
            <w:r>
              <w:rPr>
                <w:rFonts w:hint="eastAsia"/>
                <w:color w:val="000000"/>
                <w:sz w:val="18"/>
                <w:szCs w:val="18"/>
              </w:rPr>
              <w:t>大师手制三黄白莲蓉月饼</w:t>
            </w:r>
          </w:p>
        </w:tc>
        <w:tc>
          <w:tcPr>
            <w:tcW w:w="998" w:type="dxa"/>
            <w:tcBorders>
              <w:top w:val="single" w:color="auto" w:sz="4" w:space="0"/>
              <w:left w:val="nil"/>
              <w:bottom w:val="single" w:color="auto" w:sz="4" w:space="0"/>
              <w:right w:val="single" w:color="auto" w:sz="4" w:space="0"/>
            </w:tcBorders>
            <w:shd w:val="clear" w:color="000000" w:fill="FFFFFF"/>
            <w:vAlign w:val="center"/>
          </w:tcPr>
          <w:p w14:paraId="66C6550B">
            <w:pPr>
              <w:widowControl/>
              <w:jc w:val="center"/>
              <w:textAlignment w:val="center"/>
              <w:rPr>
                <w:rFonts w:hint="eastAsia" w:ascii="宋体" w:hAnsi="宋体" w:eastAsia="宋体" w:cs="宋体"/>
                <w:color w:val="000000"/>
                <w:szCs w:val="21"/>
              </w:rPr>
            </w:pPr>
            <w:r>
              <w:rPr>
                <w:rFonts w:hint="eastAsia"/>
                <w:color w:val="000000"/>
                <w:sz w:val="18"/>
                <w:szCs w:val="18"/>
              </w:rPr>
              <w:t>220g/个</w:t>
            </w:r>
          </w:p>
        </w:tc>
        <w:tc>
          <w:tcPr>
            <w:tcW w:w="1115" w:type="dxa"/>
            <w:gridSpan w:val="2"/>
            <w:tcBorders>
              <w:top w:val="single" w:color="auto" w:sz="4" w:space="0"/>
              <w:left w:val="nil"/>
              <w:bottom w:val="single" w:color="auto" w:sz="4" w:space="0"/>
              <w:right w:val="single" w:color="auto" w:sz="4" w:space="0"/>
            </w:tcBorders>
            <w:shd w:val="clear" w:color="000000" w:fill="FFFFFF"/>
            <w:vAlign w:val="center"/>
          </w:tcPr>
          <w:p w14:paraId="61B975E3">
            <w:pPr>
              <w:widowControl/>
              <w:jc w:val="center"/>
              <w:textAlignment w:val="center"/>
              <w:rPr>
                <w:rFonts w:hint="eastAsia" w:ascii="宋体" w:hAnsi="宋体" w:eastAsia="宋体" w:cs="宋体"/>
                <w:color w:val="000000"/>
                <w:szCs w:val="21"/>
              </w:rPr>
            </w:pPr>
            <w:r>
              <w:rPr>
                <w:rFonts w:hint="eastAsia"/>
                <w:color w:val="000000"/>
                <w:sz w:val="18"/>
                <w:szCs w:val="18"/>
              </w:rPr>
              <w:t xml:space="preserve">6000 </w:t>
            </w:r>
          </w:p>
        </w:tc>
        <w:tc>
          <w:tcPr>
            <w:tcW w:w="1430" w:type="dxa"/>
            <w:tcBorders>
              <w:top w:val="single" w:color="auto" w:sz="4" w:space="0"/>
              <w:left w:val="single" w:color="auto" w:sz="4" w:space="0"/>
              <w:bottom w:val="single" w:color="auto" w:sz="4" w:space="0"/>
              <w:right w:val="single" w:color="auto" w:sz="4" w:space="0"/>
            </w:tcBorders>
            <w:shd w:val="clear" w:color="000000" w:fill="FFFFFF"/>
            <w:vAlign w:val="center"/>
          </w:tcPr>
          <w:p w14:paraId="22EC7F13">
            <w:pPr>
              <w:widowControl/>
              <w:jc w:val="center"/>
              <w:textAlignment w:val="center"/>
              <w:rPr>
                <w:rFonts w:hint="eastAsia"/>
              </w:rPr>
            </w:pPr>
            <w:r>
              <w:rPr>
                <w:rFonts w:hint="eastAsia"/>
                <w:color w:val="000000"/>
                <w:sz w:val="18"/>
                <w:szCs w:val="18"/>
              </w:rPr>
              <w:t>180</w:t>
            </w:r>
          </w:p>
        </w:tc>
        <w:tc>
          <w:tcPr>
            <w:tcW w:w="1276" w:type="dxa"/>
            <w:tcBorders>
              <w:top w:val="single" w:color="auto" w:sz="4" w:space="0"/>
              <w:left w:val="single" w:color="auto" w:sz="4" w:space="0"/>
              <w:bottom w:val="single" w:color="auto" w:sz="4" w:space="0"/>
              <w:right w:val="single" w:color="auto" w:sz="4" w:space="0"/>
            </w:tcBorders>
            <w:vAlign w:val="center"/>
          </w:tcPr>
          <w:p w14:paraId="65D3CE2C">
            <w:pPr>
              <w:jc w:val="center"/>
              <w:rPr>
                <w:rFonts w:hint="eastAsia" w:ascii="宋体" w:hAnsi="宋体" w:eastAsia="宋体" w:cs="宋体"/>
                <w:color w:val="000000"/>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099958C3">
            <w:pPr>
              <w:jc w:val="center"/>
              <w:rPr>
                <w:rFonts w:hint="eastAsia" w:ascii="宋体" w:hAnsi="宋体" w:eastAsia="宋体" w:cs="宋体"/>
                <w:color w:val="000000"/>
                <w:szCs w:val="21"/>
              </w:rPr>
            </w:pPr>
          </w:p>
        </w:tc>
      </w:tr>
      <w:tr w14:paraId="614B9CC4">
        <w:tblPrEx>
          <w:tblCellMar>
            <w:top w:w="0" w:type="dxa"/>
            <w:left w:w="108" w:type="dxa"/>
            <w:bottom w:w="0" w:type="dxa"/>
            <w:right w:w="108" w:type="dxa"/>
          </w:tblCellMar>
        </w:tblPrEx>
        <w:trPr>
          <w:trHeight w:val="639" w:hRule="atLeast"/>
          <w:jc w:val="center"/>
        </w:trPr>
        <w:tc>
          <w:tcPr>
            <w:tcW w:w="709" w:type="dxa"/>
            <w:tcBorders>
              <w:top w:val="single" w:color="000000" w:sz="4" w:space="0"/>
              <w:left w:val="single" w:color="000000" w:sz="4" w:space="0"/>
              <w:bottom w:val="single" w:color="000000" w:sz="4" w:space="0"/>
              <w:right w:val="single" w:color="000000" w:sz="4" w:space="0"/>
            </w:tcBorders>
            <w:noWrap/>
            <w:vAlign w:val="center"/>
          </w:tcPr>
          <w:p w14:paraId="18CB33D6">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w:t>
            </w:r>
          </w:p>
        </w:tc>
        <w:tc>
          <w:tcPr>
            <w:tcW w:w="1980" w:type="dxa"/>
            <w:tcBorders>
              <w:top w:val="nil"/>
              <w:left w:val="single" w:color="auto" w:sz="4" w:space="0"/>
              <w:bottom w:val="single" w:color="auto" w:sz="4" w:space="0"/>
              <w:right w:val="single" w:color="auto" w:sz="4" w:space="0"/>
            </w:tcBorders>
            <w:shd w:val="clear" w:color="000000" w:fill="FFFFFF"/>
            <w:vAlign w:val="center"/>
          </w:tcPr>
          <w:p w14:paraId="4690488C">
            <w:pPr>
              <w:widowControl/>
              <w:jc w:val="center"/>
              <w:textAlignment w:val="center"/>
              <w:rPr>
                <w:rFonts w:hint="eastAsia" w:ascii="宋体" w:hAnsi="宋体" w:eastAsia="宋体" w:cs="宋体"/>
                <w:color w:val="000000"/>
                <w:szCs w:val="21"/>
              </w:rPr>
            </w:pPr>
            <w:r>
              <w:rPr>
                <w:rFonts w:hint="eastAsia"/>
                <w:color w:val="000000"/>
                <w:sz w:val="18"/>
                <w:szCs w:val="18"/>
              </w:rPr>
              <w:t>广式双黄纯白莲蓉月饼</w:t>
            </w:r>
          </w:p>
        </w:tc>
        <w:tc>
          <w:tcPr>
            <w:tcW w:w="998" w:type="dxa"/>
            <w:tcBorders>
              <w:top w:val="nil"/>
              <w:left w:val="nil"/>
              <w:bottom w:val="single" w:color="auto" w:sz="4" w:space="0"/>
              <w:right w:val="single" w:color="auto" w:sz="4" w:space="0"/>
            </w:tcBorders>
            <w:shd w:val="clear" w:color="000000" w:fill="FFFFFF"/>
            <w:vAlign w:val="center"/>
          </w:tcPr>
          <w:p w14:paraId="1FB37834">
            <w:pPr>
              <w:widowControl/>
              <w:jc w:val="center"/>
              <w:textAlignment w:val="center"/>
              <w:rPr>
                <w:rFonts w:hint="eastAsia" w:ascii="宋体" w:hAnsi="宋体" w:eastAsia="宋体" w:cs="宋体"/>
                <w:color w:val="000000"/>
                <w:szCs w:val="21"/>
              </w:rPr>
            </w:pPr>
            <w:r>
              <w:rPr>
                <w:rFonts w:hint="eastAsia"/>
                <w:color w:val="000000"/>
                <w:sz w:val="18"/>
                <w:szCs w:val="18"/>
              </w:rPr>
              <w:t>150g/个</w:t>
            </w:r>
          </w:p>
        </w:tc>
        <w:tc>
          <w:tcPr>
            <w:tcW w:w="1115" w:type="dxa"/>
            <w:gridSpan w:val="2"/>
            <w:tcBorders>
              <w:top w:val="nil"/>
              <w:left w:val="nil"/>
              <w:bottom w:val="single" w:color="auto" w:sz="4" w:space="0"/>
              <w:right w:val="single" w:color="auto" w:sz="4" w:space="0"/>
            </w:tcBorders>
            <w:shd w:val="clear" w:color="000000" w:fill="FFFFFF"/>
            <w:vAlign w:val="center"/>
          </w:tcPr>
          <w:p w14:paraId="43171EC2">
            <w:pPr>
              <w:widowControl/>
              <w:jc w:val="center"/>
              <w:textAlignment w:val="center"/>
              <w:rPr>
                <w:rFonts w:hint="eastAsia" w:ascii="宋体" w:hAnsi="宋体" w:eastAsia="宋体" w:cs="宋体"/>
                <w:color w:val="000000"/>
                <w:szCs w:val="21"/>
              </w:rPr>
            </w:pPr>
            <w:r>
              <w:rPr>
                <w:rFonts w:hint="eastAsia"/>
                <w:color w:val="000000"/>
                <w:sz w:val="18"/>
                <w:szCs w:val="18"/>
              </w:rPr>
              <w:t xml:space="preserve">8000 </w:t>
            </w:r>
          </w:p>
        </w:tc>
        <w:tc>
          <w:tcPr>
            <w:tcW w:w="1430" w:type="dxa"/>
            <w:tcBorders>
              <w:top w:val="nil"/>
              <w:left w:val="single" w:color="auto" w:sz="4" w:space="0"/>
              <w:bottom w:val="single" w:color="auto" w:sz="4" w:space="0"/>
              <w:right w:val="single" w:color="auto" w:sz="4" w:space="0"/>
            </w:tcBorders>
            <w:shd w:val="clear" w:color="000000" w:fill="FFFFFF"/>
            <w:vAlign w:val="center"/>
          </w:tcPr>
          <w:p w14:paraId="6903D755">
            <w:pPr>
              <w:widowControl/>
              <w:jc w:val="center"/>
              <w:textAlignment w:val="center"/>
              <w:rPr>
                <w:rFonts w:hint="eastAsia"/>
              </w:rPr>
            </w:pPr>
            <w:r>
              <w:rPr>
                <w:rFonts w:hint="eastAsia"/>
                <w:color w:val="000000"/>
                <w:sz w:val="18"/>
                <w:szCs w:val="18"/>
              </w:rPr>
              <w:t>100</w:t>
            </w:r>
          </w:p>
        </w:tc>
        <w:tc>
          <w:tcPr>
            <w:tcW w:w="1276" w:type="dxa"/>
            <w:tcBorders>
              <w:top w:val="single" w:color="auto" w:sz="4" w:space="0"/>
              <w:left w:val="single" w:color="auto" w:sz="4" w:space="0"/>
              <w:bottom w:val="single" w:color="auto" w:sz="4" w:space="0"/>
              <w:right w:val="single" w:color="auto" w:sz="4" w:space="0"/>
            </w:tcBorders>
            <w:vAlign w:val="center"/>
          </w:tcPr>
          <w:p w14:paraId="5368D66F">
            <w:pPr>
              <w:jc w:val="center"/>
              <w:rPr>
                <w:rFonts w:hint="eastAsia" w:ascii="宋体" w:hAnsi="宋体" w:eastAsia="宋体" w:cs="宋体"/>
                <w:color w:val="000000"/>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77F73225">
            <w:pPr>
              <w:jc w:val="center"/>
              <w:rPr>
                <w:rFonts w:hint="eastAsia" w:ascii="宋体" w:hAnsi="宋体" w:eastAsia="宋体" w:cs="宋体"/>
                <w:color w:val="000000"/>
                <w:szCs w:val="21"/>
              </w:rPr>
            </w:pPr>
          </w:p>
        </w:tc>
      </w:tr>
      <w:tr w14:paraId="05630669">
        <w:tblPrEx>
          <w:tblCellMar>
            <w:top w:w="0" w:type="dxa"/>
            <w:left w:w="108" w:type="dxa"/>
            <w:bottom w:w="0" w:type="dxa"/>
            <w:right w:w="108" w:type="dxa"/>
          </w:tblCellMar>
        </w:tblPrEx>
        <w:trPr>
          <w:trHeight w:val="636" w:hRule="atLeast"/>
          <w:jc w:val="center"/>
        </w:trPr>
        <w:tc>
          <w:tcPr>
            <w:tcW w:w="709" w:type="dxa"/>
            <w:tcBorders>
              <w:top w:val="single" w:color="000000" w:sz="4" w:space="0"/>
              <w:left w:val="single" w:color="000000" w:sz="4" w:space="0"/>
              <w:bottom w:val="single" w:color="auto" w:sz="4" w:space="0"/>
              <w:right w:val="single" w:color="000000" w:sz="4" w:space="0"/>
            </w:tcBorders>
            <w:noWrap/>
            <w:vAlign w:val="center"/>
          </w:tcPr>
          <w:p w14:paraId="2CC9F7A0">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3</w:t>
            </w:r>
          </w:p>
        </w:tc>
        <w:tc>
          <w:tcPr>
            <w:tcW w:w="1980" w:type="dxa"/>
            <w:tcBorders>
              <w:top w:val="nil"/>
              <w:left w:val="single" w:color="auto" w:sz="4" w:space="0"/>
              <w:bottom w:val="single" w:color="auto" w:sz="4" w:space="0"/>
              <w:right w:val="single" w:color="auto" w:sz="4" w:space="0"/>
            </w:tcBorders>
            <w:shd w:val="clear" w:color="000000" w:fill="FFFFFF"/>
            <w:vAlign w:val="center"/>
          </w:tcPr>
          <w:p w14:paraId="5B2D8898">
            <w:pPr>
              <w:widowControl/>
              <w:jc w:val="center"/>
              <w:textAlignment w:val="center"/>
              <w:rPr>
                <w:rFonts w:hint="eastAsia" w:ascii="宋体" w:hAnsi="宋体" w:eastAsia="宋体" w:cs="宋体"/>
                <w:color w:val="000000"/>
                <w:szCs w:val="21"/>
              </w:rPr>
            </w:pPr>
            <w:r>
              <w:rPr>
                <w:rFonts w:hint="eastAsia"/>
                <w:color w:val="000000"/>
                <w:sz w:val="18"/>
                <w:szCs w:val="18"/>
              </w:rPr>
              <w:t>广式金腿五仁月饼</w:t>
            </w:r>
          </w:p>
        </w:tc>
        <w:tc>
          <w:tcPr>
            <w:tcW w:w="998" w:type="dxa"/>
            <w:tcBorders>
              <w:top w:val="nil"/>
              <w:left w:val="nil"/>
              <w:bottom w:val="single" w:color="auto" w:sz="4" w:space="0"/>
              <w:right w:val="single" w:color="auto" w:sz="4" w:space="0"/>
            </w:tcBorders>
            <w:shd w:val="clear" w:color="000000" w:fill="FFFFFF"/>
            <w:vAlign w:val="center"/>
          </w:tcPr>
          <w:p w14:paraId="6F0DFF19">
            <w:pPr>
              <w:widowControl/>
              <w:jc w:val="center"/>
              <w:textAlignment w:val="center"/>
              <w:rPr>
                <w:rFonts w:hint="eastAsia" w:ascii="宋体" w:hAnsi="宋体" w:eastAsia="宋体" w:cs="宋体"/>
                <w:color w:val="000000"/>
                <w:szCs w:val="21"/>
              </w:rPr>
            </w:pPr>
            <w:r>
              <w:rPr>
                <w:rFonts w:hint="eastAsia"/>
                <w:color w:val="000000"/>
                <w:sz w:val="18"/>
                <w:szCs w:val="18"/>
              </w:rPr>
              <w:t>150g/个</w:t>
            </w:r>
          </w:p>
        </w:tc>
        <w:tc>
          <w:tcPr>
            <w:tcW w:w="1115" w:type="dxa"/>
            <w:gridSpan w:val="2"/>
            <w:tcBorders>
              <w:top w:val="nil"/>
              <w:left w:val="nil"/>
              <w:bottom w:val="single" w:color="auto" w:sz="4" w:space="0"/>
              <w:right w:val="single" w:color="auto" w:sz="4" w:space="0"/>
            </w:tcBorders>
            <w:shd w:val="clear" w:color="000000" w:fill="FFFFFF"/>
            <w:vAlign w:val="center"/>
          </w:tcPr>
          <w:p w14:paraId="07005D31">
            <w:pPr>
              <w:widowControl/>
              <w:jc w:val="center"/>
              <w:textAlignment w:val="center"/>
              <w:rPr>
                <w:rFonts w:hint="eastAsia" w:ascii="宋体" w:hAnsi="宋体" w:eastAsia="宋体" w:cs="宋体"/>
                <w:color w:val="000000"/>
                <w:szCs w:val="21"/>
              </w:rPr>
            </w:pPr>
            <w:r>
              <w:rPr>
                <w:rFonts w:hint="eastAsia"/>
                <w:color w:val="000000"/>
                <w:sz w:val="18"/>
                <w:szCs w:val="18"/>
              </w:rPr>
              <w:t xml:space="preserve">8000 </w:t>
            </w:r>
          </w:p>
        </w:tc>
        <w:tc>
          <w:tcPr>
            <w:tcW w:w="1430" w:type="dxa"/>
            <w:tcBorders>
              <w:top w:val="nil"/>
              <w:left w:val="single" w:color="auto" w:sz="4" w:space="0"/>
              <w:bottom w:val="single" w:color="auto" w:sz="4" w:space="0"/>
              <w:right w:val="single" w:color="auto" w:sz="4" w:space="0"/>
            </w:tcBorders>
            <w:shd w:val="clear" w:color="000000" w:fill="FFFFFF"/>
            <w:vAlign w:val="center"/>
          </w:tcPr>
          <w:p w14:paraId="3403E510">
            <w:pPr>
              <w:widowControl/>
              <w:jc w:val="center"/>
              <w:textAlignment w:val="center"/>
              <w:rPr>
                <w:rFonts w:hint="eastAsia"/>
              </w:rPr>
            </w:pPr>
            <w:r>
              <w:rPr>
                <w:rFonts w:hint="eastAsia"/>
                <w:color w:val="000000"/>
                <w:sz w:val="18"/>
                <w:szCs w:val="18"/>
              </w:rPr>
              <w:t>100</w:t>
            </w:r>
          </w:p>
        </w:tc>
        <w:tc>
          <w:tcPr>
            <w:tcW w:w="1276" w:type="dxa"/>
            <w:tcBorders>
              <w:top w:val="single" w:color="auto" w:sz="4" w:space="0"/>
              <w:left w:val="single" w:color="auto" w:sz="4" w:space="0"/>
              <w:bottom w:val="single" w:color="auto" w:sz="4" w:space="0"/>
              <w:right w:val="single" w:color="auto" w:sz="4" w:space="0"/>
            </w:tcBorders>
            <w:vAlign w:val="center"/>
          </w:tcPr>
          <w:p w14:paraId="14775C80">
            <w:pPr>
              <w:jc w:val="center"/>
              <w:rPr>
                <w:rFonts w:hint="eastAsia" w:ascii="宋体" w:hAnsi="宋体" w:eastAsia="宋体" w:cs="宋体"/>
                <w:color w:val="000000"/>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42244B21">
            <w:pPr>
              <w:jc w:val="center"/>
              <w:rPr>
                <w:rFonts w:hint="eastAsia" w:ascii="宋体" w:hAnsi="宋体" w:eastAsia="宋体" w:cs="宋体"/>
                <w:color w:val="000000"/>
                <w:szCs w:val="21"/>
              </w:rPr>
            </w:pPr>
          </w:p>
        </w:tc>
      </w:tr>
      <w:tr w14:paraId="47DBB25A">
        <w:tblPrEx>
          <w:tblCellMar>
            <w:top w:w="0" w:type="dxa"/>
            <w:left w:w="108" w:type="dxa"/>
            <w:bottom w:w="0" w:type="dxa"/>
            <w:right w:w="108" w:type="dxa"/>
          </w:tblCellMar>
        </w:tblPrEx>
        <w:trPr>
          <w:trHeight w:val="607" w:hRule="atLeast"/>
          <w:jc w:val="center"/>
        </w:trPr>
        <w:tc>
          <w:tcPr>
            <w:tcW w:w="709" w:type="dxa"/>
            <w:tcBorders>
              <w:top w:val="single" w:color="auto" w:sz="4" w:space="0"/>
              <w:left w:val="single" w:color="auto" w:sz="4" w:space="0"/>
              <w:bottom w:val="single" w:color="auto" w:sz="4" w:space="0"/>
              <w:right w:val="single" w:color="auto" w:sz="4" w:space="0"/>
            </w:tcBorders>
            <w:noWrap/>
            <w:vAlign w:val="center"/>
          </w:tcPr>
          <w:p w14:paraId="79F72BFA">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4</w:t>
            </w:r>
          </w:p>
        </w:tc>
        <w:tc>
          <w:tcPr>
            <w:tcW w:w="1980" w:type="dxa"/>
            <w:tcBorders>
              <w:top w:val="single" w:color="auto" w:sz="4" w:space="0"/>
              <w:left w:val="single" w:color="auto" w:sz="4" w:space="0"/>
              <w:bottom w:val="single" w:color="auto" w:sz="4" w:space="0"/>
              <w:right w:val="single" w:color="auto" w:sz="4" w:space="0"/>
            </w:tcBorders>
            <w:shd w:val="clear" w:color="000000" w:fill="FFFFFF"/>
            <w:vAlign w:val="center"/>
          </w:tcPr>
          <w:p w14:paraId="1A5F004C">
            <w:pPr>
              <w:widowControl/>
              <w:jc w:val="center"/>
              <w:textAlignment w:val="center"/>
              <w:rPr>
                <w:rFonts w:hint="eastAsia" w:ascii="宋体" w:hAnsi="宋体" w:eastAsia="宋体" w:cs="宋体"/>
                <w:color w:val="000000"/>
                <w:kern w:val="0"/>
                <w:szCs w:val="21"/>
                <w:lang w:bidi="ar"/>
              </w:rPr>
            </w:pPr>
            <w:r>
              <w:rPr>
                <w:rFonts w:hint="eastAsia"/>
                <w:color w:val="000000"/>
                <w:sz w:val="18"/>
                <w:szCs w:val="18"/>
              </w:rPr>
              <w:t>广式陈皮豆沙月饼</w:t>
            </w:r>
          </w:p>
        </w:tc>
        <w:tc>
          <w:tcPr>
            <w:tcW w:w="998" w:type="dxa"/>
            <w:tcBorders>
              <w:top w:val="single" w:color="auto" w:sz="4" w:space="0"/>
              <w:left w:val="single" w:color="auto" w:sz="4" w:space="0"/>
              <w:bottom w:val="single" w:color="auto" w:sz="4" w:space="0"/>
              <w:right w:val="single" w:color="auto" w:sz="4" w:space="0"/>
            </w:tcBorders>
            <w:shd w:val="clear" w:color="000000" w:fill="FFFFFF"/>
            <w:vAlign w:val="center"/>
          </w:tcPr>
          <w:p w14:paraId="5E783129">
            <w:pPr>
              <w:widowControl/>
              <w:jc w:val="center"/>
              <w:textAlignment w:val="center"/>
              <w:rPr>
                <w:rFonts w:hint="eastAsia" w:ascii="宋体" w:hAnsi="宋体" w:eastAsia="宋体" w:cs="宋体"/>
                <w:color w:val="000000"/>
                <w:kern w:val="0"/>
                <w:szCs w:val="21"/>
                <w:lang w:bidi="ar"/>
              </w:rPr>
            </w:pPr>
            <w:r>
              <w:rPr>
                <w:rFonts w:hint="eastAsia"/>
                <w:color w:val="000000"/>
                <w:sz w:val="18"/>
                <w:szCs w:val="18"/>
              </w:rPr>
              <w:t>150g/个</w:t>
            </w:r>
          </w:p>
        </w:tc>
        <w:tc>
          <w:tcPr>
            <w:tcW w:w="1115"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4402E8CE">
            <w:pPr>
              <w:widowControl/>
              <w:jc w:val="center"/>
              <w:textAlignment w:val="center"/>
              <w:rPr>
                <w:rFonts w:hint="eastAsia" w:ascii="宋体" w:hAnsi="宋体" w:eastAsia="宋体" w:cs="宋体"/>
                <w:color w:val="000000"/>
                <w:kern w:val="0"/>
                <w:szCs w:val="21"/>
                <w:lang w:bidi="ar"/>
              </w:rPr>
            </w:pPr>
            <w:r>
              <w:rPr>
                <w:rFonts w:hint="eastAsia"/>
                <w:color w:val="000000"/>
                <w:sz w:val="18"/>
                <w:szCs w:val="18"/>
              </w:rPr>
              <w:t xml:space="preserve">8000 </w:t>
            </w:r>
          </w:p>
        </w:tc>
        <w:tc>
          <w:tcPr>
            <w:tcW w:w="1430" w:type="dxa"/>
            <w:tcBorders>
              <w:top w:val="single" w:color="auto" w:sz="4" w:space="0"/>
              <w:left w:val="single" w:color="auto" w:sz="4" w:space="0"/>
              <w:bottom w:val="single" w:color="auto" w:sz="4" w:space="0"/>
              <w:right w:val="single" w:color="auto" w:sz="4" w:space="0"/>
            </w:tcBorders>
            <w:shd w:val="clear" w:color="000000" w:fill="FFFFFF"/>
            <w:vAlign w:val="center"/>
          </w:tcPr>
          <w:p w14:paraId="3EAA0ACA">
            <w:pPr>
              <w:widowControl/>
              <w:jc w:val="center"/>
              <w:textAlignment w:val="center"/>
              <w:rPr>
                <w:rFonts w:hint="eastAsia"/>
              </w:rPr>
            </w:pPr>
            <w:r>
              <w:rPr>
                <w:rFonts w:hint="eastAsia"/>
                <w:color w:val="000000"/>
                <w:sz w:val="18"/>
                <w:szCs w:val="18"/>
              </w:rPr>
              <w:t>100</w:t>
            </w:r>
          </w:p>
        </w:tc>
        <w:tc>
          <w:tcPr>
            <w:tcW w:w="1276" w:type="dxa"/>
            <w:tcBorders>
              <w:top w:val="single" w:color="auto" w:sz="4" w:space="0"/>
              <w:left w:val="single" w:color="auto" w:sz="4" w:space="0"/>
              <w:bottom w:val="single" w:color="auto" w:sz="4" w:space="0"/>
              <w:right w:val="single" w:color="auto" w:sz="4" w:space="0"/>
            </w:tcBorders>
            <w:vAlign w:val="center"/>
          </w:tcPr>
          <w:p w14:paraId="1C6CCD10">
            <w:pPr>
              <w:jc w:val="center"/>
              <w:rPr>
                <w:rFonts w:hint="eastAsia" w:ascii="宋体" w:hAnsi="宋体" w:eastAsia="宋体" w:cs="宋体"/>
                <w:color w:val="000000"/>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1503A4F3">
            <w:pPr>
              <w:jc w:val="center"/>
              <w:rPr>
                <w:rFonts w:hint="eastAsia" w:ascii="宋体" w:hAnsi="宋体" w:eastAsia="宋体" w:cs="宋体"/>
                <w:color w:val="000000"/>
                <w:szCs w:val="21"/>
              </w:rPr>
            </w:pPr>
          </w:p>
        </w:tc>
      </w:tr>
      <w:tr w14:paraId="05B93B23">
        <w:tblPrEx>
          <w:tblCellMar>
            <w:top w:w="0" w:type="dxa"/>
            <w:left w:w="108" w:type="dxa"/>
            <w:bottom w:w="0" w:type="dxa"/>
            <w:right w:w="108" w:type="dxa"/>
          </w:tblCellMar>
        </w:tblPrEx>
        <w:trPr>
          <w:trHeight w:val="604" w:hRule="atLeast"/>
          <w:jc w:val="center"/>
        </w:trPr>
        <w:tc>
          <w:tcPr>
            <w:tcW w:w="709" w:type="dxa"/>
            <w:tcBorders>
              <w:top w:val="single" w:color="auto" w:sz="4" w:space="0"/>
              <w:left w:val="single" w:color="auto" w:sz="4" w:space="0"/>
              <w:bottom w:val="single" w:color="auto" w:sz="4" w:space="0"/>
              <w:right w:val="single" w:color="auto" w:sz="4" w:space="0"/>
            </w:tcBorders>
            <w:noWrap/>
            <w:vAlign w:val="center"/>
          </w:tcPr>
          <w:p w14:paraId="4F9A477F">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5</w:t>
            </w:r>
          </w:p>
        </w:tc>
        <w:tc>
          <w:tcPr>
            <w:tcW w:w="1980" w:type="dxa"/>
            <w:tcBorders>
              <w:top w:val="single" w:color="auto" w:sz="4" w:space="0"/>
              <w:left w:val="single" w:color="auto" w:sz="4" w:space="0"/>
              <w:bottom w:val="single" w:color="auto" w:sz="4" w:space="0"/>
              <w:right w:val="single" w:color="auto" w:sz="4" w:space="0"/>
            </w:tcBorders>
            <w:shd w:val="clear" w:color="000000" w:fill="FFFFFF"/>
            <w:vAlign w:val="center"/>
          </w:tcPr>
          <w:p w14:paraId="6CB5B956">
            <w:pPr>
              <w:widowControl/>
              <w:jc w:val="center"/>
              <w:textAlignment w:val="center"/>
              <w:rPr>
                <w:rFonts w:hint="eastAsia" w:ascii="宋体" w:hAnsi="宋体" w:eastAsia="宋体" w:cs="宋体"/>
                <w:color w:val="000000"/>
                <w:kern w:val="0"/>
                <w:szCs w:val="21"/>
                <w:lang w:bidi="ar"/>
              </w:rPr>
            </w:pPr>
            <w:r>
              <w:rPr>
                <w:rFonts w:hint="eastAsia"/>
                <w:color w:val="000000"/>
                <w:sz w:val="18"/>
                <w:szCs w:val="18"/>
              </w:rPr>
              <w:t>低糖蛋黄莲蓉月饼</w:t>
            </w:r>
          </w:p>
        </w:tc>
        <w:tc>
          <w:tcPr>
            <w:tcW w:w="998" w:type="dxa"/>
            <w:tcBorders>
              <w:top w:val="single" w:color="auto" w:sz="4" w:space="0"/>
              <w:left w:val="single" w:color="auto" w:sz="4" w:space="0"/>
              <w:bottom w:val="single" w:color="auto" w:sz="4" w:space="0"/>
              <w:right w:val="single" w:color="auto" w:sz="4" w:space="0"/>
            </w:tcBorders>
            <w:shd w:val="clear" w:color="000000" w:fill="FFFFFF"/>
            <w:vAlign w:val="center"/>
          </w:tcPr>
          <w:p w14:paraId="55162F32">
            <w:pPr>
              <w:widowControl/>
              <w:jc w:val="center"/>
              <w:textAlignment w:val="center"/>
              <w:rPr>
                <w:rFonts w:hint="eastAsia" w:ascii="宋体" w:hAnsi="宋体" w:eastAsia="宋体" w:cs="宋体"/>
                <w:color w:val="000000"/>
                <w:kern w:val="0"/>
                <w:szCs w:val="21"/>
                <w:lang w:bidi="ar"/>
              </w:rPr>
            </w:pPr>
            <w:r>
              <w:rPr>
                <w:rFonts w:hint="eastAsia"/>
                <w:color w:val="000000"/>
                <w:sz w:val="18"/>
                <w:szCs w:val="18"/>
              </w:rPr>
              <w:t>150g/个</w:t>
            </w:r>
          </w:p>
        </w:tc>
        <w:tc>
          <w:tcPr>
            <w:tcW w:w="1115"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4F1D7DCF">
            <w:pPr>
              <w:widowControl/>
              <w:jc w:val="center"/>
              <w:textAlignment w:val="center"/>
              <w:rPr>
                <w:rFonts w:hint="eastAsia" w:ascii="宋体" w:hAnsi="宋体" w:eastAsia="宋体" w:cs="宋体"/>
                <w:color w:val="000000"/>
                <w:kern w:val="0"/>
                <w:szCs w:val="21"/>
                <w:lang w:bidi="ar"/>
              </w:rPr>
            </w:pPr>
            <w:r>
              <w:rPr>
                <w:rFonts w:hint="eastAsia"/>
                <w:color w:val="000000"/>
                <w:sz w:val="18"/>
                <w:szCs w:val="18"/>
              </w:rPr>
              <w:t xml:space="preserve">14000 </w:t>
            </w:r>
          </w:p>
        </w:tc>
        <w:tc>
          <w:tcPr>
            <w:tcW w:w="1430" w:type="dxa"/>
            <w:tcBorders>
              <w:top w:val="single" w:color="auto" w:sz="4" w:space="0"/>
              <w:left w:val="single" w:color="auto" w:sz="4" w:space="0"/>
              <w:bottom w:val="single" w:color="auto" w:sz="4" w:space="0"/>
              <w:right w:val="single" w:color="auto" w:sz="4" w:space="0"/>
            </w:tcBorders>
            <w:shd w:val="clear" w:color="000000" w:fill="FFFFFF"/>
            <w:vAlign w:val="center"/>
          </w:tcPr>
          <w:p w14:paraId="39705693">
            <w:pPr>
              <w:widowControl/>
              <w:jc w:val="center"/>
              <w:textAlignment w:val="center"/>
              <w:rPr>
                <w:rFonts w:hint="eastAsia"/>
              </w:rPr>
            </w:pPr>
            <w:r>
              <w:rPr>
                <w:rFonts w:hint="eastAsia"/>
                <w:color w:val="000000"/>
                <w:sz w:val="18"/>
                <w:szCs w:val="18"/>
              </w:rPr>
              <w:t>200</w:t>
            </w:r>
          </w:p>
        </w:tc>
        <w:tc>
          <w:tcPr>
            <w:tcW w:w="1276" w:type="dxa"/>
            <w:tcBorders>
              <w:top w:val="single" w:color="auto" w:sz="4" w:space="0"/>
              <w:left w:val="single" w:color="auto" w:sz="4" w:space="0"/>
              <w:bottom w:val="single" w:color="auto" w:sz="4" w:space="0"/>
              <w:right w:val="single" w:color="auto" w:sz="4" w:space="0"/>
            </w:tcBorders>
            <w:vAlign w:val="center"/>
          </w:tcPr>
          <w:p w14:paraId="25B62038">
            <w:pPr>
              <w:jc w:val="center"/>
              <w:rPr>
                <w:rFonts w:hint="eastAsia" w:ascii="宋体" w:hAnsi="宋体" w:eastAsia="宋体" w:cs="宋体"/>
                <w:color w:val="000000"/>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56FEBD83">
            <w:pPr>
              <w:jc w:val="center"/>
              <w:rPr>
                <w:rFonts w:hint="eastAsia" w:ascii="宋体" w:hAnsi="宋体" w:eastAsia="宋体" w:cs="宋体"/>
                <w:color w:val="000000"/>
                <w:szCs w:val="21"/>
              </w:rPr>
            </w:pPr>
          </w:p>
        </w:tc>
      </w:tr>
      <w:tr w14:paraId="1443D148">
        <w:tblPrEx>
          <w:tblCellMar>
            <w:top w:w="0" w:type="dxa"/>
            <w:left w:w="108" w:type="dxa"/>
            <w:bottom w:w="0" w:type="dxa"/>
            <w:right w:w="108" w:type="dxa"/>
          </w:tblCellMar>
        </w:tblPrEx>
        <w:trPr>
          <w:trHeight w:val="745" w:hRule="atLeast"/>
          <w:jc w:val="center"/>
        </w:trPr>
        <w:tc>
          <w:tcPr>
            <w:tcW w:w="709" w:type="dxa"/>
            <w:tcBorders>
              <w:top w:val="single" w:color="auto" w:sz="4" w:space="0"/>
              <w:left w:val="single" w:color="auto" w:sz="4" w:space="0"/>
              <w:bottom w:val="single" w:color="auto" w:sz="4" w:space="0"/>
              <w:right w:val="single" w:color="auto" w:sz="4" w:space="0"/>
            </w:tcBorders>
            <w:noWrap/>
            <w:vAlign w:val="center"/>
          </w:tcPr>
          <w:p w14:paraId="67EAEBAD">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6</w:t>
            </w:r>
          </w:p>
        </w:tc>
        <w:tc>
          <w:tcPr>
            <w:tcW w:w="1980" w:type="dxa"/>
            <w:tcBorders>
              <w:top w:val="single" w:color="auto" w:sz="4" w:space="0"/>
              <w:left w:val="single" w:color="auto" w:sz="4" w:space="0"/>
              <w:bottom w:val="single" w:color="auto" w:sz="4" w:space="0"/>
              <w:right w:val="single" w:color="auto" w:sz="4" w:space="0"/>
            </w:tcBorders>
            <w:shd w:val="clear" w:color="000000" w:fill="FFFFFF"/>
            <w:vAlign w:val="center"/>
          </w:tcPr>
          <w:p w14:paraId="3A602D7B">
            <w:pPr>
              <w:widowControl/>
              <w:jc w:val="center"/>
              <w:textAlignment w:val="center"/>
              <w:rPr>
                <w:rFonts w:hint="eastAsia" w:ascii="宋体" w:hAnsi="宋体" w:eastAsia="宋体" w:cs="宋体"/>
                <w:color w:val="000000"/>
                <w:kern w:val="0"/>
                <w:szCs w:val="21"/>
                <w:lang w:bidi="ar"/>
              </w:rPr>
            </w:pPr>
            <w:r>
              <w:rPr>
                <w:rFonts w:hint="eastAsia"/>
                <w:color w:val="000000"/>
                <w:sz w:val="18"/>
                <w:szCs w:val="18"/>
              </w:rPr>
              <w:t>低糖五仁月饼</w:t>
            </w:r>
          </w:p>
        </w:tc>
        <w:tc>
          <w:tcPr>
            <w:tcW w:w="998" w:type="dxa"/>
            <w:tcBorders>
              <w:top w:val="single" w:color="auto" w:sz="4" w:space="0"/>
              <w:left w:val="single" w:color="auto" w:sz="4" w:space="0"/>
              <w:bottom w:val="single" w:color="auto" w:sz="4" w:space="0"/>
              <w:right w:val="single" w:color="auto" w:sz="4" w:space="0"/>
            </w:tcBorders>
            <w:shd w:val="clear" w:color="000000" w:fill="FFFFFF"/>
            <w:vAlign w:val="center"/>
          </w:tcPr>
          <w:p w14:paraId="021018B2">
            <w:pPr>
              <w:widowControl/>
              <w:jc w:val="center"/>
              <w:textAlignment w:val="center"/>
              <w:rPr>
                <w:rFonts w:hint="eastAsia" w:ascii="宋体" w:hAnsi="宋体" w:eastAsia="宋体" w:cs="宋体"/>
                <w:color w:val="000000"/>
                <w:kern w:val="0"/>
                <w:szCs w:val="21"/>
                <w:lang w:bidi="ar"/>
              </w:rPr>
            </w:pPr>
            <w:r>
              <w:rPr>
                <w:rFonts w:hint="eastAsia"/>
                <w:color w:val="000000"/>
                <w:sz w:val="18"/>
                <w:szCs w:val="18"/>
              </w:rPr>
              <w:t>150g/个</w:t>
            </w:r>
          </w:p>
        </w:tc>
        <w:tc>
          <w:tcPr>
            <w:tcW w:w="1115"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3E900D20">
            <w:pPr>
              <w:widowControl/>
              <w:jc w:val="center"/>
              <w:textAlignment w:val="center"/>
              <w:rPr>
                <w:rFonts w:hint="eastAsia" w:ascii="宋体" w:hAnsi="宋体" w:eastAsia="宋体" w:cs="宋体"/>
                <w:color w:val="000000"/>
                <w:kern w:val="0"/>
                <w:szCs w:val="21"/>
                <w:lang w:bidi="ar"/>
              </w:rPr>
            </w:pPr>
            <w:r>
              <w:rPr>
                <w:rFonts w:hint="eastAsia"/>
                <w:color w:val="000000"/>
                <w:sz w:val="18"/>
                <w:szCs w:val="18"/>
              </w:rPr>
              <w:t xml:space="preserve">6000 </w:t>
            </w:r>
          </w:p>
        </w:tc>
        <w:tc>
          <w:tcPr>
            <w:tcW w:w="1430" w:type="dxa"/>
            <w:tcBorders>
              <w:top w:val="single" w:color="auto" w:sz="4" w:space="0"/>
              <w:left w:val="single" w:color="auto" w:sz="4" w:space="0"/>
              <w:bottom w:val="single" w:color="auto" w:sz="4" w:space="0"/>
              <w:right w:val="single" w:color="auto" w:sz="4" w:space="0"/>
            </w:tcBorders>
            <w:shd w:val="clear" w:color="000000" w:fill="FFFFFF"/>
            <w:vAlign w:val="center"/>
          </w:tcPr>
          <w:p w14:paraId="375461C4">
            <w:pPr>
              <w:widowControl/>
              <w:jc w:val="center"/>
              <w:textAlignment w:val="center"/>
              <w:rPr>
                <w:rFonts w:hint="eastAsia"/>
              </w:rPr>
            </w:pPr>
            <w:r>
              <w:rPr>
                <w:rFonts w:hint="eastAsia"/>
                <w:color w:val="000000"/>
                <w:sz w:val="18"/>
                <w:szCs w:val="18"/>
              </w:rPr>
              <w:t>100</w:t>
            </w:r>
          </w:p>
        </w:tc>
        <w:tc>
          <w:tcPr>
            <w:tcW w:w="1276" w:type="dxa"/>
            <w:tcBorders>
              <w:top w:val="single" w:color="auto" w:sz="4" w:space="0"/>
              <w:left w:val="single" w:color="auto" w:sz="4" w:space="0"/>
              <w:bottom w:val="single" w:color="auto" w:sz="4" w:space="0"/>
              <w:right w:val="single" w:color="auto" w:sz="4" w:space="0"/>
            </w:tcBorders>
            <w:vAlign w:val="center"/>
          </w:tcPr>
          <w:p w14:paraId="3B375E37">
            <w:pPr>
              <w:jc w:val="center"/>
              <w:rPr>
                <w:rFonts w:hint="eastAsia" w:ascii="宋体" w:hAnsi="宋体" w:eastAsia="宋体" w:cs="宋体"/>
                <w:color w:val="000000"/>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56263ECB">
            <w:pPr>
              <w:jc w:val="center"/>
              <w:rPr>
                <w:rFonts w:hint="eastAsia" w:ascii="宋体" w:hAnsi="宋体" w:eastAsia="宋体" w:cs="宋体"/>
                <w:color w:val="000000"/>
                <w:szCs w:val="21"/>
              </w:rPr>
            </w:pPr>
          </w:p>
        </w:tc>
      </w:tr>
      <w:tr w14:paraId="4C4C9E18">
        <w:tblPrEx>
          <w:tblCellMar>
            <w:top w:w="0" w:type="dxa"/>
            <w:left w:w="108" w:type="dxa"/>
            <w:bottom w:w="0" w:type="dxa"/>
            <w:right w:w="108" w:type="dxa"/>
          </w:tblCellMar>
        </w:tblPrEx>
        <w:trPr>
          <w:trHeight w:val="684" w:hRule="atLeast"/>
          <w:jc w:val="center"/>
        </w:trPr>
        <w:tc>
          <w:tcPr>
            <w:tcW w:w="709" w:type="dxa"/>
            <w:tcBorders>
              <w:top w:val="single" w:color="auto" w:sz="4" w:space="0"/>
              <w:left w:val="single" w:color="000000" w:sz="4" w:space="0"/>
              <w:bottom w:val="single" w:color="000000" w:sz="4" w:space="0"/>
              <w:right w:val="single" w:color="000000" w:sz="4" w:space="0"/>
            </w:tcBorders>
            <w:noWrap/>
            <w:vAlign w:val="center"/>
          </w:tcPr>
          <w:p w14:paraId="792C9E4D">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7</w:t>
            </w:r>
          </w:p>
        </w:tc>
        <w:tc>
          <w:tcPr>
            <w:tcW w:w="1980" w:type="dxa"/>
            <w:tcBorders>
              <w:top w:val="single" w:color="auto" w:sz="4" w:space="0"/>
              <w:left w:val="single" w:color="auto" w:sz="8" w:space="0"/>
              <w:bottom w:val="single" w:color="auto" w:sz="4" w:space="0"/>
              <w:right w:val="single" w:color="auto" w:sz="4" w:space="0"/>
            </w:tcBorders>
            <w:shd w:val="clear" w:color="000000" w:fill="FFFFFF"/>
            <w:vAlign w:val="center"/>
          </w:tcPr>
          <w:p w14:paraId="3FC1E888">
            <w:pPr>
              <w:widowControl/>
              <w:jc w:val="center"/>
              <w:textAlignment w:val="center"/>
              <w:rPr>
                <w:rFonts w:hint="eastAsia" w:ascii="宋体" w:hAnsi="宋体" w:eastAsia="宋体" w:cs="宋体"/>
                <w:color w:val="000000"/>
                <w:kern w:val="0"/>
                <w:szCs w:val="21"/>
                <w:lang w:bidi="ar"/>
              </w:rPr>
            </w:pPr>
            <w:r>
              <w:rPr>
                <w:rFonts w:hint="eastAsia"/>
                <w:color w:val="000000"/>
                <w:sz w:val="18"/>
                <w:szCs w:val="18"/>
              </w:rPr>
              <w:t>低糖豆沙月饼</w:t>
            </w:r>
          </w:p>
        </w:tc>
        <w:tc>
          <w:tcPr>
            <w:tcW w:w="998" w:type="dxa"/>
            <w:tcBorders>
              <w:top w:val="single" w:color="auto" w:sz="4" w:space="0"/>
              <w:left w:val="nil"/>
              <w:bottom w:val="single" w:color="auto" w:sz="4" w:space="0"/>
              <w:right w:val="single" w:color="auto" w:sz="4" w:space="0"/>
            </w:tcBorders>
            <w:shd w:val="clear" w:color="000000" w:fill="FFFFFF"/>
            <w:vAlign w:val="center"/>
          </w:tcPr>
          <w:p w14:paraId="35F3083B">
            <w:pPr>
              <w:widowControl/>
              <w:jc w:val="center"/>
              <w:textAlignment w:val="center"/>
              <w:rPr>
                <w:rFonts w:hint="eastAsia" w:ascii="宋体" w:hAnsi="宋体" w:eastAsia="宋体" w:cs="宋体"/>
                <w:color w:val="000000"/>
                <w:kern w:val="0"/>
                <w:szCs w:val="21"/>
                <w:lang w:bidi="ar"/>
              </w:rPr>
            </w:pPr>
            <w:r>
              <w:rPr>
                <w:rFonts w:hint="eastAsia"/>
                <w:color w:val="000000"/>
                <w:sz w:val="18"/>
                <w:szCs w:val="18"/>
              </w:rPr>
              <w:t>150g/个</w:t>
            </w:r>
          </w:p>
        </w:tc>
        <w:tc>
          <w:tcPr>
            <w:tcW w:w="1115" w:type="dxa"/>
            <w:gridSpan w:val="2"/>
            <w:tcBorders>
              <w:top w:val="single" w:color="auto" w:sz="4" w:space="0"/>
              <w:left w:val="nil"/>
              <w:bottom w:val="single" w:color="auto" w:sz="4" w:space="0"/>
              <w:right w:val="single" w:color="auto" w:sz="4" w:space="0"/>
            </w:tcBorders>
            <w:shd w:val="clear" w:color="000000" w:fill="FFFFFF"/>
            <w:vAlign w:val="center"/>
          </w:tcPr>
          <w:p w14:paraId="478F89B0">
            <w:pPr>
              <w:widowControl/>
              <w:jc w:val="center"/>
              <w:textAlignment w:val="center"/>
              <w:rPr>
                <w:rFonts w:hint="eastAsia" w:ascii="宋体" w:hAnsi="宋体" w:eastAsia="宋体" w:cs="宋体"/>
                <w:color w:val="000000"/>
                <w:kern w:val="0"/>
                <w:szCs w:val="21"/>
                <w:lang w:bidi="ar"/>
              </w:rPr>
            </w:pPr>
            <w:r>
              <w:rPr>
                <w:rFonts w:hint="eastAsia"/>
                <w:color w:val="000000"/>
                <w:sz w:val="18"/>
                <w:szCs w:val="18"/>
              </w:rPr>
              <w:t xml:space="preserve">6000 </w:t>
            </w:r>
          </w:p>
        </w:tc>
        <w:tc>
          <w:tcPr>
            <w:tcW w:w="1430" w:type="dxa"/>
            <w:tcBorders>
              <w:top w:val="single" w:color="auto" w:sz="4" w:space="0"/>
              <w:left w:val="single" w:color="auto" w:sz="4" w:space="0"/>
              <w:bottom w:val="single" w:color="auto" w:sz="4" w:space="0"/>
              <w:right w:val="single" w:color="auto" w:sz="4" w:space="0"/>
            </w:tcBorders>
            <w:shd w:val="clear" w:color="000000" w:fill="FFFFFF"/>
            <w:vAlign w:val="center"/>
          </w:tcPr>
          <w:p w14:paraId="68A1FF00">
            <w:pPr>
              <w:widowControl/>
              <w:jc w:val="center"/>
              <w:textAlignment w:val="center"/>
              <w:rPr>
                <w:rFonts w:hint="eastAsia"/>
              </w:rPr>
            </w:pPr>
            <w:r>
              <w:rPr>
                <w:rFonts w:hint="eastAsia"/>
                <w:color w:val="000000"/>
                <w:sz w:val="18"/>
                <w:szCs w:val="18"/>
              </w:rPr>
              <w:t>100</w:t>
            </w:r>
          </w:p>
        </w:tc>
        <w:tc>
          <w:tcPr>
            <w:tcW w:w="1276" w:type="dxa"/>
            <w:tcBorders>
              <w:top w:val="single" w:color="auto" w:sz="4" w:space="0"/>
              <w:left w:val="single" w:color="auto" w:sz="4" w:space="0"/>
              <w:bottom w:val="single" w:color="auto" w:sz="4" w:space="0"/>
              <w:right w:val="single" w:color="auto" w:sz="4" w:space="0"/>
            </w:tcBorders>
            <w:vAlign w:val="center"/>
          </w:tcPr>
          <w:p w14:paraId="29C08994">
            <w:pPr>
              <w:jc w:val="center"/>
              <w:rPr>
                <w:rFonts w:hint="eastAsia" w:ascii="宋体" w:hAnsi="宋体" w:eastAsia="宋体" w:cs="宋体"/>
                <w:color w:val="000000"/>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5A6ABFCA">
            <w:pPr>
              <w:jc w:val="center"/>
              <w:rPr>
                <w:rFonts w:hint="eastAsia" w:ascii="宋体" w:hAnsi="宋体" w:eastAsia="宋体" w:cs="宋体"/>
                <w:color w:val="000000"/>
                <w:szCs w:val="21"/>
              </w:rPr>
            </w:pPr>
          </w:p>
        </w:tc>
      </w:tr>
      <w:tr w14:paraId="76AFC89E">
        <w:tblPrEx>
          <w:tblCellMar>
            <w:top w:w="0" w:type="dxa"/>
            <w:left w:w="108" w:type="dxa"/>
            <w:bottom w:w="0" w:type="dxa"/>
            <w:right w:w="108" w:type="dxa"/>
          </w:tblCellMar>
        </w:tblPrEx>
        <w:trPr>
          <w:trHeight w:val="566" w:hRule="atLeast"/>
          <w:jc w:val="center"/>
        </w:trPr>
        <w:tc>
          <w:tcPr>
            <w:tcW w:w="709" w:type="dxa"/>
            <w:tcBorders>
              <w:top w:val="single" w:color="000000" w:sz="4" w:space="0"/>
              <w:left w:val="single" w:color="000000" w:sz="4" w:space="0"/>
              <w:bottom w:val="single" w:color="000000" w:sz="4" w:space="0"/>
              <w:right w:val="single" w:color="000000" w:sz="4" w:space="0"/>
            </w:tcBorders>
            <w:noWrap/>
            <w:vAlign w:val="center"/>
          </w:tcPr>
          <w:p w14:paraId="42F9A051">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8</w:t>
            </w:r>
          </w:p>
        </w:tc>
        <w:tc>
          <w:tcPr>
            <w:tcW w:w="1980" w:type="dxa"/>
            <w:tcBorders>
              <w:top w:val="nil"/>
              <w:left w:val="single" w:color="auto" w:sz="8" w:space="0"/>
              <w:bottom w:val="single" w:color="auto" w:sz="4" w:space="0"/>
              <w:right w:val="single" w:color="auto" w:sz="4" w:space="0"/>
            </w:tcBorders>
            <w:shd w:val="clear" w:color="000000" w:fill="FFFFFF"/>
            <w:vAlign w:val="center"/>
          </w:tcPr>
          <w:p w14:paraId="7D8829C6">
            <w:pPr>
              <w:widowControl/>
              <w:jc w:val="center"/>
              <w:textAlignment w:val="center"/>
              <w:rPr>
                <w:rFonts w:hint="eastAsia" w:ascii="宋体" w:hAnsi="宋体" w:eastAsia="宋体" w:cs="宋体"/>
                <w:color w:val="000000"/>
                <w:szCs w:val="21"/>
              </w:rPr>
            </w:pPr>
            <w:r>
              <w:rPr>
                <w:rFonts w:hint="eastAsia"/>
                <w:color w:val="000000"/>
                <w:sz w:val="18"/>
                <w:szCs w:val="18"/>
              </w:rPr>
              <w:t>低糖黑芝麻月饼</w:t>
            </w:r>
          </w:p>
        </w:tc>
        <w:tc>
          <w:tcPr>
            <w:tcW w:w="998" w:type="dxa"/>
            <w:tcBorders>
              <w:top w:val="nil"/>
              <w:left w:val="nil"/>
              <w:bottom w:val="single" w:color="auto" w:sz="4" w:space="0"/>
              <w:right w:val="single" w:color="auto" w:sz="4" w:space="0"/>
            </w:tcBorders>
            <w:shd w:val="clear" w:color="000000" w:fill="FFFFFF"/>
            <w:vAlign w:val="center"/>
          </w:tcPr>
          <w:p w14:paraId="7CF9CF14">
            <w:pPr>
              <w:widowControl/>
              <w:jc w:val="center"/>
              <w:textAlignment w:val="center"/>
              <w:rPr>
                <w:rFonts w:hint="eastAsia" w:ascii="宋体" w:hAnsi="宋体" w:eastAsia="宋体" w:cs="宋体"/>
                <w:color w:val="000000"/>
                <w:szCs w:val="21"/>
              </w:rPr>
            </w:pPr>
            <w:r>
              <w:rPr>
                <w:rFonts w:hint="eastAsia"/>
                <w:color w:val="000000"/>
                <w:sz w:val="18"/>
                <w:szCs w:val="18"/>
              </w:rPr>
              <w:t>150g/个</w:t>
            </w:r>
          </w:p>
        </w:tc>
        <w:tc>
          <w:tcPr>
            <w:tcW w:w="1115" w:type="dxa"/>
            <w:gridSpan w:val="2"/>
            <w:tcBorders>
              <w:top w:val="nil"/>
              <w:left w:val="nil"/>
              <w:bottom w:val="single" w:color="auto" w:sz="4" w:space="0"/>
              <w:right w:val="single" w:color="auto" w:sz="4" w:space="0"/>
            </w:tcBorders>
            <w:shd w:val="clear" w:color="000000" w:fill="FFFFFF"/>
            <w:vAlign w:val="center"/>
          </w:tcPr>
          <w:p w14:paraId="168A1FBD">
            <w:pPr>
              <w:widowControl/>
              <w:jc w:val="center"/>
              <w:textAlignment w:val="center"/>
              <w:rPr>
                <w:rFonts w:hint="eastAsia" w:ascii="宋体" w:hAnsi="宋体" w:eastAsia="宋体" w:cs="宋体"/>
                <w:color w:val="000000"/>
                <w:szCs w:val="21"/>
              </w:rPr>
            </w:pPr>
            <w:r>
              <w:rPr>
                <w:rFonts w:hint="eastAsia"/>
                <w:color w:val="000000"/>
                <w:sz w:val="18"/>
                <w:szCs w:val="18"/>
              </w:rPr>
              <w:t xml:space="preserve">6000 </w:t>
            </w:r>
          </w:p>
        </w:tc>
        <w:tc>
          <w:tcPr>
            <w:tcW w:w="1430" w:type="dxa"/>
            <w:tcBorders>
              <w:top w:val="nil"/>
              <w:left w:val="single" w:color="auto" w:sz="4" w:space="0"/>
              <w:bottom w:val="single" w:color="auto" w:sz="4" w:space="0"/>
              <w:right w:val="single" w:color="auto" w:sz="4" w:space="0"/>
            </w:tcBorders>
            <w:shd w:val="clear" w:color="000000" w:fill="FFFFFF"/>
            <w:vAlign w:val="center"/>
          </w:tcPr>
          <w:p w14:paraId="4BF057AC">
            <w:pPr>
              <w:widowControl/>
              <w:jc w:val="center"/>
              <w:textAlignment w:val="center"/>
              <w:rPr>
                <w:rFonts w:hint="eastAsia"/>
              </w:rPr>
            </w:pPr>
            <w:r>
              <w:rPr>
                <w:rFonts w:hint="eastAsia"/>
                <w:color w:val="000000"/>
                <w:sz w:val="18"/>
                <w:szCs w:val="18"/>
              </w:rPr>
              <w:t>100</w:t>
            </w:r>
          </w:p>
        </w:tc>
        <w:tc>
          <w:tcPr>
            <w:tcW w:w="1276" w:type="dxa"/>
            <w:tcBorders>
              <w:top w:val="single" w:color="auto" w:sz="4" w:space="0"/>
              <w:left w:val="single" w:color="auto" w:sz="4" w:space="0"/>
              <w:bottom w:val="single" w:color="auto" w:sz="4" w:space="0"/>
              <w:right w:val="single" w:color="auto" w:sz="4" w:space="0"/>
            </w:tcBorders>
            <w:vAlign w:val="center"/>
          </w:tcPr>
          <w:p w14:paraId="5E603C4C">
            <w:pPr>
              <w:jc w:val="center"/>
              <w:rPr>
                <w:rFonts w:hint="eastAsia" w:ascii="宋体" w:hAnsi="宋体" w:eastAsia="宋体" w:cs="宋体"/>
                <w:color w:val="000000"/>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2CF60F25">
            <w:pPr>
              <w:jc w:val="center"/>
              <w:rPr>
                <w:rFonts w:hint="eastAsia" w:ascii="宋体" w:hAnsi="宋体" w:eastAsia="宋体" w:cs="宋体"/>
                <w:color w:val="000000"/>
                <w:szCs w:val="21"/>
              </w:rPr>
            </w:pPr>
          </w:p>
        </w:tc>
      </w:tr>
      <w:tr w14:paraId="20CF6E32">
        <w:tblPrEx>
          <w:tblCellMar>
            <w:top w:w="0" w:type="dxa"/>
            <w:left w:w="108" w:type="dxa"/>
            <w:bottom w:w="0" w:type="dxa"/>
            <w:right w:w="108" w:type="dxa"/>
          </w:tblCellMar>
        </w:tblPrEx>
        <w:trPr>
          <w:trHeight w:val="566" w:hRule="atLeast"/>
          <w:jc w:val="center"/>
        </w:trPr>
        <w:tc>
          <w:tcPr>
            <w:tcW w:w="709" w:type="dxa"/>
            <w:tcBorders>
              <w:top w:val="single" w:color="000000" w:sz="4" w:space="0"/>
              <w:left w:val="single" w:color="000000" w:sz="4" w:space="0"/>
              <w:bottom w:val="single" w:color="000000" w:sz="4" w:space="0"/>
              <w:right w:val="single" w:color="000000" w:sz="4" w:space="0"/>
            </w:tcBorders>
            <w:noWrap/>
            <w:vAlign w:val="center"/>
          </w:tcPr>
          <w:p w14:paraId="4B03D36D">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9</w:t>
            </w:r>
          </w:p>
        </w:tc>
        <w:tc>
          <w:tcPr>
            <w:tcW w:w="1980" w:type="dxa"/>
            <w:tcBorders>
              <w:top w:val="nil"/>
              <w:left w:val="single" w:color="auto" w:sz="8" w:space="0"/>
              <w:bottom w:val="single" w:color="auto" w:sz="4" w:space="0"/>
              <w:right w:val="single" w:color="auto" w:sz="4" w:space="0"/>
            </w:tcBorders>
            <w:shd w:val="clear" w:color="000000" w:fill="FFFFFF"/>
            <w:vAlign w:val="center"/>
          </w:tcPr>
          <w:p w14:paraId="6CD2DCF4">
            <w:pPr>
              <w:widowControl/>
              <w:jc w:val="center"/>
              <w:textAlignment w:val="center"/>
              <w:rPr>
                <w:rFonts w:hint="eastAsia"/>
              </w:rPr>
            </w:pPr>
            <w:r>
              <w:rPr>
                <w:rFonts w:hint="eastAsia"/>
                <w:color w:val="000000"/>
                <w:sz w:val="18"/>
                <w:szCs w:val="18"/>
              </w:rPr>
              <w:t>陈皮红豆沙月饼</w:t>
            </w:r>
          </w:p>
        </w:tc>
        <w:tc>
          <w:tcPr>
            <w:tcW w:w="998" w:type="dxa"/>
            <w:tcBorders>
              <w:top w:val="nil"/>
              <w:left w:val="nil"/>
              <w:bottom w:val="single" w:color="auto" w:sz="4" w:space="0"/>
              <w:right w:val="single" w:color="auto" w:sz="4" w:space="0"/>
            </w:tcBorders>
            <w:shd w:val="clear" w:color="000000" w:fill="FFFFFF"/>
            <w:vAlign w:val="center"/>
          </w:tcPr>
          <w:p w14:paraId="70736D1B">
            <w:pPr>
              <w:widowControl/>
              <w:jc w:val="center"/>
              <w:textAlignment w:val="center"/>
              <w:rPr>
                <w:rFonts w:hint="eastAsia"/>
              </w:rPr>
            </w:pPr>
            <w:r>
              <w:rPr>
                <w:rFonts w:hint="eastAsia"/>
                <w:color w:val="000000"/>
                <w:sz w:val="18"/>
                <w:szCs w:val="18"/>
              </w:rPr>
              <w:t>150g/个</w:t>
            </w:r>
          </w:p>
        </w:tc>
        <w:tc>
          <w:tcPr>
            <w:tcW w:w="1115" w:type="dxa"/>
            <w:gridSpan w:val="2"/>
            <w:tcBorders>
              <w:top w:val="nil"/>
              <w:left w:val="nil"/>
              <w:bottom w:val="single" w:color="auto" w:sz="4" w:space="0"/>
              <w:right w:val="single" w:color="auto" w:sz="4" w:space="0"/>
            </w:tcBorders>
            <w:shd w:val="clear" w:color="000000" w:fill="FFFFFF"/>
            <w:vAlign w:val="center"/>
          </w:tcPr>
          <w:p w14:paraId="172D9760">
            <w:pPr>
              <w:widowControl/>
              <w:jc w:val="center"/>
              <w:textAlignment w:val="center"/>
              <w:rPr>
                <w:rFonts w:hint="eastAsia"/>
              </w:rPr>
            </w:pPr>
            <w:r>
              <w:rPr>
                <w:rFonts w:hint="eastAsia"/>
                <w:color w:val="000000"/>
                <w:sz w:val="18"/>
                <w:szCs w:val="18"/>
              </w:rPr>
              <w:t>6000</w:t>
            </w:r>
          </w:p>
        </w:tc>
        <w:tc>
          <w:tcPr>
            <w:tcW w:w="1430" w:type="dxa"/>
            <w:tcBorders>
              <w:top w:val="nil"/>
              <w:left w:val="single" w:color="auto" w:sz="4" w:space="0"/>
              <w:bottom w:val="single" w:color="auto" w:sz="4" w:space="0"/>
              <w:right w:val="single" w:color="auto" w:sz="4" w:space="0"/>
            </w:tcBorders>
            <w:shd w:val="clear" w:color="000000" w:fill="FFFFFF"/>
            <w:vAlign w:val="center"/>
          </w:tcPr>
          <w:p w14:paraId="4B150D60">
            <w:pPr>
              <w:widowControl/>
              <w:jc w:val="center"/>
              <w:textAlignment w:val="center"/>
              <w:rPr>
                <w:rFonts w:hint="eastAsia"/>
              </w:rPr>
            </w:pPr>
            <w:r>
              <w:rPr>
                <w:rFonts w:hint="eastAsia"/>
                <w:color w:val="000000"/>
                <w:sz w:val="18"/>
                <w:szCs w:val="18"/>
              </w:rPr>
              <w:t>0</w:t>
            </w:r>
          </w:p>
        </w:tc>
        <w:tc>
          <w:tcPr>
            <w:tcW w:w="1276" w:type="dxa"/>
            <w:tcBorders>
              <w:top w:val="single" w:color="auto" w:sz="4" w:space="0"/>
              <w:left w:val="single" w:color="auto" w:sz="4" w:space="0"/>
              <w:bottom w:val="single" w:color="auto" w:sz="4" w:space="0"/>
              <w:right w:val="single" w:color="auto" w:sz="4" w:space="0"/>
            </w:tcBorders>
            <w:vAlign w:val="center"/>
          </w:tcPr>
          <w:p w14:paraId="01AEEB01">
            <w:pPr>
              <w:jc w:val="center"/>
              <w:rPr>
                <w:rFonts w:hint="eastAsia" w:ascii="宋体" w:hAnsi="宋体" w:eastAsia="宋体" w:cs="宋体"/>
                <w:color w:val="000000"/>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2E7A31A6">
            <w:pPr>
              <w:jc w:val="center"/>
              <w:rPr>
                <w:rFonts w:hint="eastAsia" w:ascii="宋体" w:hAnsi="宋体" w:eastAsia="宋体" w:cs="宋体"/>
                <w:color w:val="000000"/>
                <w:szCs w:val="21"/>
              </w:rPr>
            </w:pPr>
          </w:p>
        </w:tc>
      </w:tr>
      <w:tr w14:paraId="10DF4950">
        <w:tblPrEx>
          <w:tblCellMar>
            <w:top w:w="0" w:type="dxa"/>
            <w:left w:w="108" w:type="dxa"/>
            <w:bottom w:w="0" w:type="dxa"/>
            <w:right w:w="108" w:type="dxa"/>
          </w:tblCellMar>
        </w:tblPrEx>
        <w:trPr>
          <w:trHeight w:val="566" w:hRule="atLeast"/>
          <w:jc w:val="center"/>
        </w:trPr>
        <w:tc>
          <w:tcPr>
            <w:tcW w:w="709" w:type="dxa"/>
            <w:tcBorders>
              <w:top w:val="single" w:color="000000" w:sz="4" w:space="0"/>
              <w:left w:val="single" w:color="000000" w:sz="4" w:space="0"/>
              <w:bottom w:val="single" w:color="000000" w:sz="4" w:space="0"/>
              <w:right w:val="single" w:color="000000" w:sz="4" w:space="0"/>
            </w:tcBorders>
            <w:noWrap/>
            <w:vAlign w:val="center"/>
          </w:tcPr>
          <w:p w14:paraId="2B5B8492">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10</w:t>
            </w:r>
          </w:p>
        </w:tc>
        <w:tc>
          <w:tcPr>
            <w:tcW w:w="1980" w:type="dxa"/>
            <w:tcBorders>
              <w:top w:val="nil"/>
              <w:left w:val="single" w:color="auto" w:sz="8" w:space="0"/>
              <w:bottom w:val="single" w:color="auto" w:sz="4" w:space="0"/>
              <w:right w:val="single" w:color="auto" w:sz="4" w:space="0"/>
            </w:tcBorders>
            <w:shd w:val="clear" w:color="000000" w:fill="FFFFFF"/>
            <w:vAlign w:val="center"/>
          </w:tcPr>
          <w:p w14:paraId="70F99DF1">
            <w:pPr>
              <w:widowControl/>
              <w:jc w:val="center"/>
              <w:textAlignment w:val="center"/>
              <w:rPr>
                <w:rFonts w:hint="eastAsia"/>
              </w:rPr>
            </w:pPr>
            <w:r>
              <w:rPr>
                <w:rFonts w:hint="eastAsia"/>
                <w:color w:val="000000"/>
                <w:sz w:val="18"/>
                <w:szCs w:val="18"/>
              </w:rPr>
              <w:t>佛手红豆沙月饼</w:t>
            </w:r>
          </w:p>
        </w:tc>
        <w:tc>
          <w:tcPr>
            <w:tcW w:w="998" w:type="dxa"/>
            <w:tcBorders>
              <w:top w:val="nil"/>
              <w:left w:val="nil"/>
              <w:bottom w:val="single" w:color="auto" w:sz="4" w:space="0"/>
              <w:right w:val="single" w:color="auto" w:sz="4" w:space="0"/>
            </w:tcBorders>
            <w:shd w:val="clear" w:color="000000" w:fill="FFFFFF"/>
            <w:vAlign w:val="center"/>
          </w:tcPr>
          <w:p w14:paraId="332D1CA4">
            <w:pPr>
              <w:widowControl/>
              <w:jc w:val="center"/>
              <w:textAlignment w:val="center"/>
              <w:rPr>
                <w:rFonts w:hint="eastAsia"/>
              </w:rPr>
            </w:pPr>
            <w:r>
              <w:rPr>
                <w:rFonts w:hint="eastAsia"/>
                <w:color w:val="000000"/>
                <w:sz w:val="18"/>
                <w:szCs w:val="18"/>
              </w:rPr>
              <w:t>150g/个</w:t>
            </w:r>
          </w:p>
        </w:tc>
        <w:tc>
          <w:tcPr>
            <w:tcW w:w="1115" w:type="dxa"/>
            <w:gridSpan w:val="2"/>
            <w:tcBorders>
              <w:top w:val="nil"/>
              <w:left w:val="nil"/>
              <w:bottom w:val="single" w:color="auto" w:sz="4" w:space="0"/>
              <w:right w:val="single" w:color="auto" w:sz="4" w:space="0"/>
            </w:tcBorders>
            <w:shd w:val="clear" w:color="000000" w:fill="FFFFFF"/>
            <w:vAlign w:val="center"/>
          </w:tcPr>
          <w:p w14:paraId="64B07D3E">
            <w:pPr>
              <w:widowControl/>
              <w:jc w:val="center"/>
              <w:textAlignment w:val="center"/>
              <w:rPr>
                <w:rFonts w:hint="eastAsia"/>
              </w:rPr>
            </w:pPr>
            <w:r>
              <w:rPr>
                <w:rFonts w:hint="eastAsia"/>
                <w:color w:val="000000"/>
                <w:sz w:val="18"/>
                <w:szCs w:val="18"/>
              </w:rPr>
              <w:t>6000</w:t>
            </w:r>
          </w:p>
        </w:tc>
        <w:tc>
          <w:tcPr>
            <w:tcW w:w="1430" w:type="dxa"/>
            <w:tcBorders>
              <w:top w:val="nil"/>
              <w:left w:val="single" w:color="auto" w:sz="4" w:space="0"/>
              <w:bottom w:val="single" w:color="auto" w:sz="4" w:space="0"/>
              <w:right w:val="single" w:color="auto" w:sz="4" w:space="0"/>
            </w:tcBorders>
            <w:shd w:val="clear" w:color="000000" w:fill="FFFFFF"/>
            <w:vAlign w:val="center"/>
          </w:tcPr>
          <w:p w14:paraId="61C1A02B">
            <w:pPr>
              <w:widowControl/>
              <w:jc w:val="center"/>
              <w:textAlignment w:val="center"/>
              <w:rPr>
                <w:rFonts w:hint="eastAsia"/>
              </w:rPr>
            </w:pPr>
            <w:r>
              <w:rPr>
                <w:rFonts w:hint="eastAsia"/>
                <w:color w:val="000000"/>
                <w:sz w:val="18"/>
                <w:szCs w:val="18"/>
              </w:rPr>
              <w:t>0</w:t>
            </w:r>
          </w:p>
        </w:tc>
        <w:tc>
          <w:tcPr>
            <w:tcW w:w="1276" w:type="dxa"/>
            <w:tcBorders>
              <w:top w:val="single" w:color="auto" w:sz="4" w:space="0"/>
              <w:left w:val="single" w:color="auto" w:sz="4" w:space="0"/>
              <w:bottom w:val="single" w:color="auto" w:sz="4" w:space="0"/>
              <w:right w:val="single" w:color="auto" w:sz="4" w:space="0"/>
            </w:tcBorders>
            <w:vAlign w:val="center"/>
          </w:tcPr>
          <w:p w14:paraId="5C2A79FF">
            <w:pPr>
              <w:jc w:val="center"/>
              <w:rPr>
                <w:rFonts w:hint="eastAsia" w:ascii="宋体" w:hAnsi="宋体" w:eastAsia="宋体" w:cs="宋体"/>
                <w:color w:val="000000"/>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64970673">
            <w:pPr>
              <w:jc w:val="center"/>
              <w:rPr>
                <w:rFonts w:hint="eastAsia" w:ascii="宋体" w:hAnsi="宋体" w:eastAsia="宋体" w:cs="宋体"/>
                <w:color w:val="000000"/>
                <w:szCs w:val="21"/>
              </w:rPr>
            </w:pPr>
          </w:p>
        </w:tc>
      </w:tr>
      <w:tr w14:paraId="72E4BA2A">
        <w:tblPrEx>
          <w:tblCellMar>
            <w:top w:w="0" w:type="dxa"/>
            <w:left w:w="108" w:type="dxa"/>
            <w:bottom w:w="0" w:type="dxa"/>
            <w:right w:w="108" w:type="dxa"/>
          </w:tblCellMar>
        </w:tblPrEx>
        <w:trPr>
          <w:trHeight w:val="566" w:hRule="atLeast"/>
          <w:jc w:val="center"/>
        </w:trPr>
        <w:tc>
          <w:tcPr>
            <w:tcW w:w="709" w:type="dxa"/>
            <w:tcBorders>
              <w:top w:val="single" w:color="000000" w:sz="4" w:space="0"/>
              <w:left w:val="single" w:color="000000" w:sz="4" w:space="0"/>
              <w:bottom w:val="single" w:color="000000" w:sz="4" w:space="0"/>
              <w:right w:val="single" w:color="000000" w:sz="4" w:space="0"/>
            </w:tcBorders>
            <w:noWrap/>
            <w:vAlign w:val="center"/>
          </w:tcPr>
          <w:p w14:paraId="2A6735B5">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11</w:t>
            </w:r>
          </w:p>
        </w:tc>
        <w:tc>
          <w:tcPr>
            <w:tcW w:w="1980" w:type="dxa"/>
            <w:tcBorders>
              <w:top w:val="nil"/>
              <w:left w:val="single" w:color="auto" w:sz="8" w:space="0"/>
              <w:bottom w:val="single" w:color="auto" w:sz="4" w:space="0"/>
              <w:right w:val="single" w:color="auto" w:sz="4" w:space="0"/>
            </w:tcBorders>
            <w:shd w:val="clear" w:color="000000" w:fill="FFFFFF"/>
            <w:vAlign w:val="center"/>
          </w:tcPr>
          <w:p w14:paraId="548422D7">
            <w:pPr>
              <w:widowControl/>
              <w:jc w:val="center"/>
              <w:textAlignment w:val="center"/>
              <w:rPr>
                <w:rFonts w:hint="eastAsia"/>
              </w:rPr>
            </w:pPr>
            <w:r>
              <w:rPr>
                <w:rFonts w:hint="eastAsia"/>
                <w:color w:val="000000"/>
                <w:sz w:val="18"/>
                <w:szCs w:val="18"/>
              </w:rPr>
              <w:t>珍珠红豆沙月饼</w:t>
            </w:r>
          </w:p>
        </w:tc>
        <w:tc>
          <w:tcPr>
            <w:tcW w:w="998" w:type="dxa"/>
            <w:tcBorders>
              <w:top w:val="nil"/>
              <w:left w:val="nil"/>
              <w:bottom w:val="single" w:color="auto" w:sz="4" w:space="0"/>
              <w:right w:val="single" w:color="auto" w:sz="4" w:space="0"/>
            </w:tcBorders>
            <w:shd w:val="clear" w:color="000000" w:fill="FFFFFF"/>
            <w:vAlign w:val="center"/>
          </w:tcPr>
          <w:p w14:paraId="6C3973E2">
            <w:pPr>
              <w:widowControl/>
              <w:jc w:val="center"/>
              <w:textAlignment w:val="center"/>
              <w:rPr>
                <w:rFonts w:hint="eastAsia"/>
              </w:rPr>
            </w:pPr>
            <w:r>
              <w:rPr>
                <w:rFonts w:hint="eastAsia"/>
                <w:color w:val="000000"/>
                <w:sz w:val="18"/>
                <w:szCs w:val="18"/>
              </w:rPr>
              <w:t>150g/个</w:t>
            </w:r>
          </w:p>
        </w:tc>
        <w:tc>
          <w:tcPr>
            <w:tcW w:w="1115" w:type="dxa"/>
            <w:gridSpan w:val="2"/>
            <w:tcBorders>
              <w:top w:val="nil"/>
              <w:left w:val="nil"/>
              <w:bottom w:val="single" w:color="auto" w:sz="4" w:space="0"/>
              <w:right w:val="single" w:color="auto" w:sz="4" w:space="0"/>
            </w:tcBorders>
            <w:shd w:val="clear" w:color="000000" w:fill="FFFFFF"/>
            <w:vAlign w:val="center"/>
          </w:tcPr>
          <w:p w14:paraId="731FA6E0">
            <w:pPr>
              <w:widowControl/>
              <w:jc w:val="center"/>
              <w:textAlignment w:val="center"/>
              <w:rPr>
                <w:rFonts w:hint="eastAsia"/>
              </w:rPr>
            </w:pPr>
            <w:r>
              <w:rPr>
                <w:rFonts w:hint="eastAsia"/>
                <w:color w:val="000000"/>
                <w:sz w:val="18"/>
                <w:szCs w:val="18"/>
              </w:rPr>
              <w:t>6000</w:t>
            </w:r>
          </w:p>
        </w:tc>
        <w:tc>
          <w:tcPr>
            <w:tcW w:w="1430" w:type="dxa"/>
            <w:tcBorders>
              <w:top w:val="nil"/>
              <w:left w:val="single" w:color="auto" w:sz="4" w:space="0"/>
              <w:bottom w:val="single" w:color="auto" w:sz="4" w:space="0"/>
              <w:right w:val="single" w:color="auto" w:sz="4" w:space="0"/>
            </w:tcBorders>
            <w:shd w:val="clear" w:color="000000" w:fill="FFFFFF"/>
            <w:vAlign w:val="center"/>
          </w:tcPr>
          <w:p w14:paraId="2051D04B">
            <w:pPr>
              <w:widowControl/>
              <w:jc w:val="center"/>
              <w:textAlignment w:val="center"/>
              <w:rPr>
                <w:rFonts w:hint="eastAsia"/>
              </w:rPr>
            </w:pPr>
            <w:r>
              <w:rPr>
                <w:rFonts w:hint="eastAsia"/>
                <w:color w:val="000000"/>
                <w:sz w:val="18"/>
                <w:szCs w:val="18"/>
              </w:rPr>
              <w:t>0</w:t>
            </w:r>
          </w:p>
        </w:tc>
        <w:tc>
          <w:tcPr>
            <w:tcW w:w="1276" w:type="dxa"/>
            <w:tcBorders>
              <w:top w:val="single" w:color="auto" w:sz="4" w:space="0"/>
              <w:left w:val="single" w:color="auto" w:sz="4" w:space="0"/>
              <w:bottom w:val="single" w:color="auto" w:sz="4" w:space="0"/>
              <w:right w:val="single" w:color="auto" w:sz="4" w:space="0"/>
            </w:tcBorders>
            <w:vAlign w:val="center"/>
          </w:tcPr>
          <w:p w14:paraId="7DB09CE4">
            <w:pPr>
              <w:jc w:val="center"/>
              <w:rPr>
                <w:rFonts w:hint="eastAsia" w:ascii="宋体" w:hAnsi="宋体" w:eastAsia="宋体" w:cs="宋体"/>
                <w:color w:val="000000"/>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7B7FDA40">
            <w:pPr>
              <w:jc w:val="center"/>
              <w:rPr>
                <w:rFonts w:hint="eastAsia" w:ascii="宋体" w:hAnsi="宋体" w:eastAsia="宋体" w:cs="宋体"/>
                <w:color w:val="000000"/>
                <w:szCs w:val="21"/>
              </w:rPr>
            </w:pPr>
          </w:p>
        </w:tc>
      </w:tr>
      <w:tr w14:paraId="5578F8BA">
        <w:tblPrEx>
          <w:tblCellMar>
            <w:top w:w="0" w:type="dxa"/>
            <w:left w:w="108" w:type="dxa"/>
            <w:bottom w:w="0" w:type="dxa"/>
            <w:right w:w="108" w:type="dxa"/>
          </w:tblCellMar>
        </w:tblPrEx>
        <w:trPr>
          <w:trHeight w:val="566" w:hRule="atLeast"/>
          <w:jc w:val="center"/>
        </w:trPr>
        <w:tc>
          <w:tcPr>
            <w:tcW w:w="709" w:type="dxa"/>
            <w:tcBorders>
              <w:top w:val="single" w:color="000000" w:sz="4" w:space="0"/>
              <w:left w:val="single" w:color="000000" w:sz="4" w:space="0"/>
              <w:bottom w:val="single" w:color="000000" w:sz="4" w:space="0"/>
              <w:right w:val="single" w:color="000000" w:sz="4" w:space="0"/>
            </w:tcBorders>
            <w:noWrap/>
            <w:vAlign w:val="center"/>
          </w:tcPr>
          <w:p w14:paraId="0A6BB051">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12</w:t>
            </w:r>
          </w:p>
        </w:tc>
        <w:tc>
          <w:tcPr>
            <w:tcW w:w="1980" w:type="dxa"/>
            <w:tcBorders>
              <w:top w:val="nil"/>
              <w:left w:val="single" w:color="auto" w:sz="8" w:space="0"/>
              <w:bottom w:val="single" w:color="auto" w:sz="4" w:space="0"/>
              <w:right w:val="single" w:color="auto" w:sz="4" w:space="0"/>
            </w:tcBorders>
            <w:shd w:val="clear" w:color="000000" w:fill="FFFFFF"/>
            <w:vAlign w:val="center"/>
          </w:tcPr>
          <w:p w14:paraId="6057D091">
            <w:pPr>
              <w:widowControl/>
              <w:jc w:val="center"/>
              <w:textAlignment w:val="center"/>
              <w:rPr>
                <w:rFonts w:hint="eastAsia"/>
              </w:rPr>
            </w:pPr>
            <w:r>
              <w:rPr>
                <w:rFonts w:hint="eastAsia"/>
                <w:color w:val="000000"/>
                <w:sz w:val="18"/>
                <w:szCs w:val="18"/>
              </w:rPr>
              <w:t>玫瑰红豆沙月饼</w:t>
            </w:r>
          </w:p>
        </w:tc>
        <w:tc>
          <w:tcPr>
            <w:tcW w:w="998" w:type="dxa"/>
            <w:tcBorders>
              <w:top w:val="nil"/>
              <w:left w:val="nil"/>
              <w:bottom w:val="single" w:color="auto" w:sz="4" w:space="0"/>
              <w:right w:val="single" w:color="auto" w:sz="4" w:space="0"/>
            </w:tcBorders>
            <w:shd w:val="clear" w:color="000000" w:fill="FFFFFF"/>
            <w:vAlign w:val="center"/>
          </w:tcPr>
          <w:p w14:paraId="23E92CE9">
            <w:pPr>
              <w:widowControl/>
              <w:jc w:val="center"/>
              <w:textAlignment w:val="center"/>
              <w:rPr>
                <w:rFonts w:hint="eastAsia"/>
              </w:rPr>
            </w:pPr>
            <w:r>
              <w:rPr>
                <w:rFonts w:hint="eastAsia"/>
                <w:color w:val="000000"/>
                <w:sz w:val="18"/>
                <w:szCs w:val="18"/>
              </w:rPr>
              <w:t>150g/个</w:t>
            </w:r>
          </w:p>
        </w:tc>
        <w:tc>
          <w:tcPr>
            <w:tcW w:w="1115" w:type="dxa"/>
            <w:gridSpan w:val="2"/>
            <w:tcBorders>
              <w:top w:val="nil"/>
              <w:left w:val="nil"/>
              <w:bottom w:val="single" w:color="auto" w:sz="4" w:space="0"/>
              <w:right w:val="single" w:color="auto" w:sz="4" w:space="0"/>
            </w:tcBorders>
            <w:shd w:val="clear" w:color="000000" w:fill="FFFFFF"/>
            <w:vAlign w:val="center"/>
          </w:tcPr>
          <w:p w14:paraId="436C9F24">
            <w:pPr>
              <w:widowControl/>
              <w:jc w:val="center"/>
              <w:textAlignment w:val="center"/>
              <w:rPr>
                <w:rFonts w:hint="eastAsia"/>
              </w:rPr>
            </w:pPr>
            <w:r>
              <w:rPr>
                <w:rFonts w:hint="eastAsia"/>
                <w:color w:val="000000"/>
                <w:sz w:val="18"/>
                <w:szCs w:val="18"/>
              </w:rPr>
              <w:t>6000</w:t>
            </w:r>
          </w:p>
        </w:tc>
        <w:tc>
          <w:tcPr>
            <w:tcW w:w="1430" w:type="dxa"/>
            <w:tcBorders>
              <w:top w:val="nil"/>
              <w:left w:val="single" w:color="auto" w:sz="4" w:space="0"/>
              <w:bottom w:val="single" w:color="auto" w:sz="4" w:space="0"/>
              <w:right w:val="single" w:color="auto" w:sz="4" w:space="0"/>
            </w:tcBorders>
            <w:shd w:val="clear" w:color="000000" w:fill="FFFFFF"/>
            <w:vAlign w:val="center"/>
          </w:tcPr>
          <w:p w14:paraId="39220045">
            <w:pPr>
              <w:widowControl/>
              <w:jc w:val="center"/>
              <w:textAlignment w:val="center"/>
              <w:rPr>
                <w:rFonts w:hint="eastAsia"/>
              </w:rPr>
            </w:pPr>
            <w:r>
              <w:rPr>
                <w:rFonts w:hint="eastAsia"/>
                <w:color w:val="000000"/>
                <w:sz w:val="18"/>
                <w:szCs w:val="18"/>
              </w:rPr>
              <w:t>0</w:t>
            </w:r>
          </w:p>
        </w:tc>
        <w:tc>
          <w:tcPr>
            <w:tcW w:w="1276" w:type="dxa"/>
            <w:tcBorders>
              <w:top w:val="single" w:color="auto" w:sz="4" w:space="0"/>
              <w:left w:val="single" w:color="auto" w:sz="4" w:space="0"/>
              <w:bottom w:val="single" w:color="auto" w:sz="4" w:space="0"/>
              <w:right w:val="single" w:color="auto" w:sz="4" w:space="0"/>
            </w:tcBorders>
            <w:vAlign w:val="center"/>
          </w:tcPr>
          <w:p w14:paraId="687128E3">
            <w:pPr>
              <w:jc w:val="center"/>
              <w:rPr>
                <w:rFonts w:hint="eastAsia" w:ascii="宋体" w:hAnsi="宋体" w:eastAsia="宋体" w:cs="宋体"/>
                <w:color w:val="000000"/>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583A73CA">
            <w:pPr>
              <w:jc w:val="center"/>
              <w:rPr>
                <w:rFonts w:hint="eastAsia" w:ascii="宋体" w:hAnsi="宋体" w:eastAsia="宋体" w:cs="宋体"/>
                <w:color w:val="000000"/>
                <w:szCs w:val="21"/>
              </w:rPr>
            </w:pPr>
          </w:p>
        </w:tc>
      </w:tr>
      <w:tr w14:paraId="0B5D8041">
        <w:tblPrEx>
          <w:tblCellMar>
            <w:top w:w="0" w:type="dxa"/>
            <w:left w:w="108" w:type="dxa"/>
            <w:bottom w:w="0" w:type="dxa"/>
            <w:right w:w="108" w:type="dxa"/>
          </w:tblCellMar>
        </w:tblPrEx>
        <w:trPr>
          <w:trHeight w:val="566" w:hRule="atLeast"/>
          <w:jc w:val="center"/>
        </w:trPr>
        <w:tc>
          <w:tcPr>
            <w:tcW w:w="709" w:type="dxa"/>
            <w:tcBorders>
              <w:top w:val="single" w:color="000000" w:sz="4" w:space="0"/>
              <w:left w:val="single" w:color="000000" w:sz="4" w:space="0"/>
              <w:bottom w:val="single" w:color="000000" w:sz="4" w:space="0"/>
              <w:right w:val="single" w:color="000000" w:sz="4" w:space="0"/>
            </w:tcBorders>
            <w:noWrap/>
            <w:vAlign w:val="center"/>
          </w:tcPr>
          <w:p w14:paraId="4E9284D0">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13</w:t>
            </w:r>
          </w:p>
        </w:tc>
        <w:tc>
          <w:tcPr>
            <w:tcW w:w="1980" w:type="dxa"/>
            <w:tcBorders>
              <w:top w:val="nil"/>
              <w:left w:val="single" w:color="auto" w:sz="8" w:space="0"/>
              <w:bottom w:val="single" w:color="auto" w:sz="4" w:space="0"/>
              <w:right w:val="single" w:color="auto" w:sz="4" w:space="0"/>
            </w:tcBorders>
            <w:shd w:val="clear" w:color="000000" w:fill="FFFFFF"/>
            <w:vAlign w:val="center"/>
          </w:tcPr>
          <w:p w14:paraId="65FE0F34">
            <w:pPr>
              <w:widowControl/>
              <w:jc w:val="center"/>
              <w:textAlignment w:val="center"/>
              <w:rPr>
                <w:rFonts w:hint="eastAsia"/>
              </w:rPr>
            </w:pPr>
            <w:r>
              <w:rPr>
                <w:rFonts w:hint="eastAsia"/>
                <w:color w:val="000000"/>
                <w:sz w:val="18"/>
                <w:szCs w:val="18"/>
              </w:rPr>
              <w:t>低糖蛋黄莲蓉月饼</w:t>
            </w:r>
          </w:p>
        </w:tc>
        <w:tc>
          <w:tcPr>
            <w:tcW w:w="998" w:type="dxa"/>
            <w:tcBorders>
              <w:top w:val="nil"/>
              <w:left w:val="nil"/>
              <w:bottom w:val="single" w:color="auto" w:sz="4" w:space="0"/>
              <w:right w:val="single" w:color="auto" w:sz="4" w:space="0"/>
            </w:tcBorders>
            <w:shd w:val="clear" w:color="000000" w:fill="FFFFFF"/>
            <w:vAlign w:val="center"/>
          </w:tcPr>
          <w:p w14:paraId="5E9A3074">
            <w:pPr>
              <w:widowControl/>
              <w:jc w:val="center"/>
              <w:textAlignment w:val="center"/>
              <w:rPr>
                <w:rFonts w:hint="eastAsia"/>
              </w:rPr>
            </w:pPr>
            <w:r>
              <w:rPr>
                <w:rFonts w:hint="eastAsia"/>
                <w:color w:val="000000"/>
                <w:sz w:val="18"/>
                <w:szCs w:val="18"/>
              </w:rPr>
              <w:t>80g/个</w:t>
            </w:r>
          </w:p>
        </w:tc>
        <w:tc>
          <w:tcPr>
            <w:tcW w:w="1115" w:type="dxa"/>
            <w:gridSpan w:val="2"/>
            <w:tcBorders>
              <w:top w:val="nil"/>
              <w:left w:val="nil"/>
              <w:bottom w:val="single" w:color="auto" w:sz="4" w:space="0"/>
              <w:right w:val="single" w:color="auto" w:sz="4" w:space="0"/>
            </w:tcBorders>
            <w:shd w:val="clear" w:color="000000" w:fill="FFFFFF"/>
            <w:vAlign w:val="center"/>
          </w:tcPr>
          <w:p w14:paraId="5C41C7ED">
            <w:pPr>
              <w:widowControl/>
              <w:jc w:val="center"/>
              <w:textAlignment w:val="center"/>
              <w:rPr>
                <w:rFonts w:hint="eastAsia"/>
              </w:rPr>
            </w:pPr>
            <w:r>
              <w:rPr>
                <w:rFonts w:hint="eastAsia"/>
                <w:color w:val="000000"/>
                <w:sz w:val="18"/>
                <w:szCs w:val="18"/>
              </w:rPr>
              <w:t xml:space="preserve">6000 </w:t>
            </w:r>
          </w:p>
        </w:tc>
        <w:tc>
          <w:tcPr>
            <w:tcW w:w="1430" w:type="dxa"/>
            <w:tcBorders>
              <w:top w:val="nil"/>
              <w:left w:val="single" w:color="auto" w:sz="4" w:space="0"/>
              <w:bottom w:val="single" w:color="auto" w:sz="4" w:space="0"/>
              <w:right w:val="single" w:color="auto" w:sz="4" w:space="0"/>
            </w:tcBorders>
            <w:shd w:val="clear" w:color="000000" w:fill="FFFFFF"/>
            <w:vAlign w:val="center"/>
          </w:tcPr>
          <w:p w14:paraId="629FBD9D">
            <w:pPr>
              <w:widowControl/>
              <w:jc w:val="center"/>
              <w:textAlignment w:val="center"/>
              <w:rPr>
                <w:rFonts w:hint="eastAsia"/>
              </w:rPr>
            </w:pPr>
            <w:r>
              <w:rPr>
                <w:rFonts w:hint="eastAsia"/>
                <w:color w:val="000000"/>
                <w:sz w:val="18"/>
                <w:szCs w:val="18"/>
              </w:rPr>
              <w:t>0</w:t>
            </w:r>
          </w:p>
        </w:tc>
        <w:tc>
          <w:tcPr>
            <w:tcW w:w="1276" w:type="dxa"/>
            <w:tcBorders>
              <w:top w:val="single" w:color="auto" w:sz="4" w:space="0"/>
              <w:left w:val="single" w:color="auto" w:sz="4" w:space="0"/>
              <w:bottom w:val="single" w:color="auto" w:sz="4" w:space="0"/>
              <w:right w:val="single" w:color="auto" w:sz="4" w:space="0"/>
            </w:tcBorders>
            <w:vAlign w:val="center"/>
          </w:tcPr>
          <w:p w14:paraId="253A2D2B">
            <w:pPr>
              <w:jc w:val="center"/>
              <w:rPr>
                <w:rFonts w:hint="eastAsia" w:ascii="宋体" w:hAnsi="宋体" w:eastAsia="宋体" w:cs="宋体"/>
                <w:color w:val="000000"/>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43E38B22">
            <w:pPr>
              <w:jc w:val="center"/>
              <w:rPr>
                <w:rFonts w:hint="eastAsia" w:ascii="宋体" w:hAnsi="宋体" w:eastAsia="宋体" w:cs="宋体"/>
                <w:color w:val="000000"/>
                <w:szCs w:val="21"/>
              </w:rPr>
            </w:pPr>
          </w:p>
        </w:tc>
      </w:tr>
      <w:tr w14:paraId="0D57F9DB">
        <w:tblPrEx>
          <w:tblCellMar>
            <w:top w:w="0" w:type="dxa"/>
            <w:left w:w="108" w:type="dxa"/>
            <w:bottom w:w="0" w:type="dxa"/>
            <w:right w:w="108" w:type="dxa"/>
          </w:tblCellMar>
        </w:tblPrEx>
        <w:trPr>
          <w:trHeight w:val="566" w:hRule="atLeast"/>
          <w:jc w:val="center"/>
        </w:trPr>
        <w:tc>
          <w:tcPr>
            <w:tcW w:w="709" w:type="dxa"/>
            <w:tcBorders>
              <w:top w:val="single" w:color="000000" w:sz="4" w:space="0"/>
              <w:left w:val="single" w:color="000000" w:sz="4" w:space="0"/>
              <w:bottom w:val="single" w:color="000000" w:sz="4" w:space="0"/>
              <w:right w:val="single" w:color="000000" w:sz="4" w:space="0"/>
            </w:tcBorders>
            <w:noWrap/>
            <w:vAlign w:val="center"/>
          </w:tcPr>
          <w:p w14:paraId="5E02DDB4">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14</w:t>
            </w:r>
          </w:p>
        </w:tc>
        <w:tc>
          <w:tcPr>
            <w:tcW w:w="1980" w:type="dxa"/>
            <w:tcBorders>
              <w:top w:val="nil"/>
              <w:left w:val="single" w:color="auto" w:sz="8" w:space="0"/>
              <w:bottom w:val="single" w:color="auto" w:sz="4" w:space="0"/>
              <w:right w:val="single" w:color="auto" w:sz="4" w:space="0"/>
            </w:tcBorders>
            <w:shd w:val="clear" w:color="000000" w:fill="FFFFFF"/>
            <w:vAlign w:val="center"/>
          </w:tcPr>
          <w:p w14:paraId="2F001C28">
            <w:pPr>
              <w:widowControl/>
              <w:jc w:val="center"/>
              <w:textAlignment w:val="center"/>
              <w:rPr>
                <w:rFonts w:hint="eastAsia"/>
              </w:rPr>
            </w:pPr>
            <w:r>
              <w:rPr>
                <w:rFonts w:hint="eastAsia"/>
                <w:color w:val="000000"/>
                <w:sz w:val="18"/>
                <w:szCs w:val="18"/>
              </w:rPr>
              <w:t>低糖五仁月饼</w:t>
            </w:r>
          </w:p>
        </w:tc>
        <w:tc>
          <w:tcPr>
            <w:tcW w:w="998" w:type="dxa"/>
            <w:tcBorders>
              <w:top w:val="nil"/>
              <w:left w:val="nil"/>
              <w:bottom w:val="single" w:color="auto" w:sz="4" w:space="0"/>
              <w:right w:val="single" w:color="auto" w:sz="4" w:space="0"/>
            </w:tcBorders>
            <w:shd w:val="clear" w:color="000000" w:fill="FFFFFF"/>
            <w:vAlign w:val="center"/>
          </w:tcPr>
          <w:p w14:paraId="3244F53C">
            <w:pPr>
              <w:widowControl/>
              <w:jc w:val="center"/>
              <w:textAlignment w:val="center"/>
              <w:rPr>
                <w:rFonts w:hint="eastAsia"/>
              </w:rPr>
            </w:pPr>
            <w:r>
              <w:rPr>
                <w:rFonts w:hint="eastAsia"/>
                <w:color w:val="000000"/>
                <w:sz w:val="18"/>
                <w:szCs w:val="18"/>
              </w:rPr>
              <w:t>80g/个</w:t>
            </w:r>
          </w:p>
        </w:tc>
        <w:tc>
          <w:tcPr>
            <w:tcW w:w="1115" w:type="dxa"/>
            <w:gridSpan w:val="2"/>
            <w:tcBorders>
              <w:top w:val="nil"/>
              <w:left w:val="nil"/>
              <w:bottom w:val="single" w:color="auto" w:sz="4" w:space="0"/>
              <w:right w:val="single" w:color="auto" w:sz="4" w:space="0"/>
            </w:tcBorders>
            <w:shd w:val="clear" w:color="000000" w:fill="FFFFFF"/>
            <w:vAlign w:val="center"/>
          </w:tcPr>
          <w:p w14:paraId="1A80DC4F">
            <w:pPr>
              <w:widowControl/>
              <w:jc w:val="center"/>
              <w:textAlignment w:val="center"/>
              <w:rPr>
                <w:rFonts w:hint="eastAsia"/>
              </w:rPr>
            </w:pPr>
            <w:r>
              <w:rPr>
                <w:rFonts w:hint="eastAsia"/>
                <w:color w:val="000000"/>
                <w:sz w:val="18"/>
                <w:szCs w:val="18"/>
              </w:rPr>
              <w:t xml:space="preserve">6000 </w:t>
            </w:r>
          </w:p>
        </w:tc>
        <w:tc>
          <w:tcPr>
            <w:tcW w:w="1430" w:type="dxa"/>
            <w:tcBorders>
              <w:top w:val="nil"/>
              <w:left w:val="single" w:color="auto" w:sz="4" w:space="0"/>
              <w:bottom w:val="single" w:color="auto" w:sz="4" w:space="0"/>
              <w:right w:val="single" w:color="auto" w:sz="4" w:space="0"/>
            </w:tcBorders>
            <w:shd w:val="clear" w:color="000000" w:fill="FFFFFF"/>
            <w:vAlign w:val="center"/>
          </w:tcPr>
          <w:p w14:paraId="5C90908C">
            <w:pPr>
              <w:widowControl/>
              <w:jc w:val="center"/>
              <w:textAlignment w:val="center"/>
              <w:rPr>
                <w:rFonts w:hint="eastAsia"/>
              </w:rPr>
            </w:pPr>
            <w:r>
              <w:rPr>
                <w:rFonts w:hint="eastAsia"/>
                <w:color w:val="000000"/>
                <w:sz w:val="18"/>
                <w:szCs w:val="18"/>
              </w:rPr>
              <w:t>0</w:t>
            </w:r>
          </w:p>
        </w:tc>
        <w:tc>
          <w:tcPr>
            <w:tcW w:w="1276" w:type="dxa"/>
            <w:tcBorders>
              <w:top w:val="single" w:color="auto" w:sz="4" w:space="0"/>
              <w:left w:val="single" w:color="auto" w:sz="4" w:space="0"/>
              <w:bottom w:val="single" w:color="auto" w:sz="4" w:space="0"/>
              <w:right w:val="single" w:color="auto" w:sz="4" w:space="0"/>
            </w:tcBorders>
            <w:vAlign w:val="center"/>
          </w:tcPr>
          <w:p w14:paraId="3106407F">
            <w:pPr>
              <w:jc w:val="center"/>
              <w:rPr>
                <w:rFonts w:hint="eastAsia" w:ascii="宋体" w:hAnsi="宋体" w:eastAsia="宋体" w:cs="宋体"/>
                <w:color w:val="000000"/>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57E528B8">
            <w:pPr>
              <w:jc w:val="center"/>
              <w:rPr>
                <w:rFonts w:hint="eastAsia" w:ascii="宋体" w:hAnsi="宋体" w:eastAsia="宋体" w:cs="宋体"/>
                <w:color w:val="000000"/>
                <w:szCs w:val="21"/>
              </w:rPr>
            </w:pPr>
          </w:p>
        </w:tc>
      </w:tr>
      <w:tr w14:paraId="4566FE94">
        <w:tblPrEx>
          <w:tblCellMar>
            <w:top w:w="0" w:type="dxa"/>
            <w:left w:w="108" w:type="dxa"/>
            <w:bottom w:w="0" w:type="dxa"/>
            <w:right w:w="108" w:type="dxa"/>
          </w:tblCellMar>
        </w:tblPrEx>
        <w:trPr>
          <w:trHeight w:val="566" w:hRule="atLeast"/>
          <w:jc w:val="center"/>
        </w:trPr>
        <w:tc>
          <w:tcPr>
            <w:tcW w:w="3687" w:type="dxa"/>
            <w:gridSpan w:val="3"/>
            <w:tcBorders>
              <w:top w:val="single" w:color="000000" w:sz="4" w:space="0"/>
              <w:left w:val="single" w:color="000000" w:sz="4" w:space="0"/>
              <w:bottom w:val="single" w:color="000000" w:sz="4" w:space="0"/>
              <w:right w:val="single" w:color="000000" w:sz="4" w:space="0"/>
            </w:tcBorders>
            <w:noWrap/>
            <w:vAlign w:val="center"/>
          </w:tcPr>
          <w:p w14:paraId="5C973BD5">
            <w:pPr>
              <w:widowControl/>
              <w:jc w:val="center"/>
              <w:textAlignment w:val="center"/>
              <w:rPr>
                <w:rFonts w:hint="eastAsia"/>
              </w:rPr>
            </w:pPr>
            <w:r>
              <w:t>中大餐饮含税合计（元）：</w:t>
            </w:r>
          </w:p>
        </w:tc>
        <w:tc>
          <w:tcPr>
            <w:tcW w:w="5664" w:type="dxa"/>
            <w:gridSpan w:val="5"/>
            <w:tcBorders>
              <w:top w:val="single" w:color="000000" w:sz="4" w:space="0"/>
              <w:left w:val="single" w:color="000000" w:sz="4" w:space="0"/>
              <w:bottom w:val="single" w:color="000000" w:sz="4" w:space="0"/>
              <w:right w:val="single" w:color="auto" w:sz="4" w:space="0"/>
            </w:tcBorders>
          </w:tcPr>
          <w:p w14:paraId="167C9B85">
            <w:pPr>
              <w:jc w:val="center"/>
              <w:rPr>
                <w:rFonts w:hint="eastAsia"/>
              </w:rPr>
            </w:pPr>
          </w:p>
        </w:tc>
      </w:tr>
      <w:tr w14:paraId="208B34FB">
        <w:tblPrEx>
          <w:tblCellMar>
            <w:top w:w="0" w:type="dxa"/>
            <w:left w:w="108" w:type="dxa"/>
            <w:bottom w:w="0" w:type="dxa"/>
            <w:right w:w="108" w:type="dxa"/>
          </w:tblCellMar>
        </w:tblPrEx>
        <w:trPr>
          <w:trHeight w:val="566" w:hRule="atLeast"/>
          <w:jc w:val="center"/>
        </w:trPr>
        <w:tc>
          <w:tcPr>
            <w:tcW w:w="3687" w:type="dxa"/>
            <w:gridSpan w:val="3"/>
            <w:tcBorders>
              <w:top w:val="single" w:color="000000" w:sz="4" w:space="0"/>
              <w:left w:val="single" w:color="000000" w:sz="4" w:space="0"/>
              <w:bottom w:val="single" w:color="000000" w:sz="4" w:space="0"/>
              <w:right w:val="single" w:color="000000" w:sz="4" w:space="0"/>
            </w:tcBorders>
            <w:noWrap/>
            <w:vAlign w:val="center"/>
          </w:tcPr>
          <w:p w14:paraId="06C9F091">
            <w:pPr>
              <w:widowControl/>
              <w:jc w:val="center"/>
              <w:textAlignment w:val="center"/>
              <w:rPr>
                <w:rFonts w:hint="eastAsia"/>
              </w:rPr>
            </w:pPr>
            <w:r>
              <w:t>康乐园餐饮含税合计（元）：</w:t>
            </w:r>
          </w:p>
        </w:tc>
        <w:tc>
          <w:tcPr>
            <w:tcW w:w="5664" w:type="dxa"/>
            <w:gridSpan w:val="5"/>
            <w:tcBorders>
              <w:top w:val="single" w:color="000000" w:sz="4" w:space="0"/>
              <w:left w:val="single" w:color="000000" w:sz="4" w:space="0"/>
              <w:bottom w:val="single" w:color="000000" w:sz="4" w:space="0"/>
              <w:right w:val="single" w:color="auto" w:sz="4" w:space="0"/>
            </w:tcBorders>
          </w:tcPr>
          <w:p w14:paraId="14EE99B3">
            <w:pPr>
              <w:jc w:val="center"/>
              <w:rPr>
                <w:rFonts w:hint="eastAsia"/>
              </w:rPr>
            </w:pPr>
          </w:p>
        </w:tc>
      </w:tr>
      <w:tr w14:paraId="38729A79">
        <w:tblPrEx>
          <w:tblCellMar>
            <w:top w:w="0" w:type="dxa"/>
            <w:left w:w="108" w:type="dxa"/>
            <w:bottom w:w="0" w:type="dxa"/>
            <w:right w:w="108" w:type="dxa"/>
          </w:tblCellMar>
        </w:tblPrEx>
        <w:trPr>
          <w:trHeight w:val="566" w:hRule="atLeast"/>
          <w:jc w:val="center"/>
        </w:trPr>
        <w:tc>
          <w:tcPr>
            <w:tcW w:w="3695" w:type="dxa"/>
            <w:gridSpan w:val="4"/>
            <w:tcBorders>
              <w:top w:val="single" w:color="000000" w:sz="4" w:space="0"/>
              <w:left w:val="single" w:color="000000" w:sz="4" w:space="0"/>
              <w:bottom w:val="single" w:color="000000" w:sz="4" w:space="0"/>
              <w:right w:val="single" w:color="000000" w:sz="4" w:space="0"/>
            </w:tcBorders>
            <w:noWrap/>
            <w:vAlign w:val="center"/>
          </w:tcPr>
          <w:p w14:paraId="4DAA9271">
            <w:pPr>
              <w:widowControl/>
              <w:jc w:val="center"/>
              <w:textAlignment w:val="center"/>
              <w:rPr>
                <w:rFonts w:hint="eastAsia"/>
              </w:rPr>
            </w:pPr>
            <w:r>
              <w:t>总金额</w:t>
            </w:r>
            <w:r>
              <w:rPr>
                <w:rFonts w:hint="eastAsia"/>
              </w:rPr>
              <w:t>（</w:t>
            </w:r>
            <w:r>
              <w:t>中大餐饮、康乐园合计</w:t>
            </w:r>
            <w:r>
              <w:rPr>
                <w:rFonts w:hint="eastAsia"/>
              </w:rPr>
              <w:t>）</w:t>
            </w:r>
            <w:r>
              <w:t>（元）：</w:t>
            </w:r>
          </w:p>
        </w:tc>
        <w:tc>
          <w:tcPr>
            <w:tcW w:w="5656" w:type="dxa"/>
            <w:gridSpan w:val="4"/>
            <w:tcBorders>
              <w:top w:val="single" w:color="000000" w:sz="4" w:space="0"/>
              <w:left w:val="single" w:color="000000" w:sz="4" w:space="0"/>
              <w:bottom w:val="single" w:color="000000" w:sz="4" w:space="0"/>
              <w:right w:val="single" w:color="auto" w:sz="4" w:space="0"/>
            </w:tcBorders>
            <w:vAlign w:val="center"/>
          </w:tcPr>
          <w:p w14:paraId="23C0D9DC">
            <w:pPr>
              <w:jc w:val="center"/>
              <w:rPr>
                <w:rFonts w:hint="eastAsia" w:ascii="宋体" w:hAnsi="宋体" w:eastAsia="宋体" w:cs="宋体"/>
                <w:color w:val="000000"/>
                <w:szCs w:val="21"/>
              </w:rPr>
            </w:pPr>
          </w:p>
        </w:tc>
      </w:tr>
      <w:tr w14:paraId="7C887427">
        <w:tblPrEx>
          <w:tblCellMar>
            <w:top w:w="0" w:type="dxa"/>
            <w:left w:w="108" w:type="dxa"/>
            <w:bottom w:w="0" w:type="dxa"/>
            <w:right w:w="108" w:type="dxa"/>
          </w:tblCellMar>
        </w:tblPrEx>
        <w:trPr>
          <w:trHeight w:val="566" w:hRule="atLeast"/>
          <w:jc w:val="center"/>
        </w:trPr>
        <w:tc>
          <w:tcPr>
            <w:tcW w:w="3695" w:type="dxa"/>
            <w:gridSpan w:val="4"/>
            <w:tcBorders>
              <w:top w:val="single" w:color="000000" w:sz="4" w:space="0"/>
              <w:left w:val="single" w:color="000000" w:sz="4" w:space="0"/>
              <w:bottom w:val="single" w:color="000000" w:sz="4" w:space="0"/>
              <w:right w:val="single" w:color="000000" w:sz="4" w:space="0"/>
            </w:tcBorders>
            <w:noWrap/>
            <w:vAlign w:val="center"/>
          </w:tcPr>
          <w:p w14:paraId="1F9CEDB9">
            <w:pPr>
              <w:widowControl/>
              <w:jc w:val="center"/>
              <w:textAlignment w:val="center"/>
              <w:rPr>
                <w:rFonts w:hint="eastAsia"/>
              </w:rPr>
            </w:pPr>
            <w:r>
              <w:rPr>
                <w:rFonts w:hint="eastAsia"/>
              </w:rPr>
              <w:t>专票税率（%）</w:t>
            </w:r>
          </w:p>
        </w:tc>
        <w:tc>
          <w:tcPr>
            <w:tcW w:w="5656" w:type="dxa"/>
            <w:gridSpan w:val="4"/>
            <w:tcBorders>
              <w:top w:val="single" w:color="000000" w:sz="4" w:space="0"/>
              <w:left w:val="single" w:color="000000" w:sz="4" w:space="0"/>
              <w:bottom w:val="single" w:color="000000" w:sz="4" w:space="0"/>
              <w:right w:val="single" w:color="auto" w:sz="4" w:space="0"/>
            </w:tcBorders>
            <w:vAlign w:val="center"/>
          </w:tcPr>
          <w:p w14:paraId="62589CE9">
            <w:pPr>
              <w:jc w:val="center"/>
              <w:rPr>
                <w:rFonts w:hint="eastAsia" w:ascii="宋体" w:hAnsi="宋体" w:eastAsia="宋体" w:cs="宋体"/>
                <w:color w:val="000000"/>
                <w:szCs w:val="21"/>
              </w:rPr>
            </w:pPr>
          </w:p>
        </w:tc>
      </w:tr>
      <w:tr w14:paraId="522EAEE7">
        <w:tblPrEx>
          <w:tblCellMar>
            <w:top w:w="0" w:type="dxa"/>
            <w:left w:w="108" w:type="dxa"/>
            <w:bottom w:w="0" w:type="dxa"/>
            <w:right w:w="108" w:type="dxa"/>
          </w:tblCellMar>
        </w:tblPrEx>
        <w:trPr>
          <w:trHeight w:val="566" w:hRule="atLeast"/>
          <w:jc w:val="center"/>
        </w:trPr>
        <w:tc>
          <w:tcPr>
            <w:tcW w:w="3695" w:type="dxa"/>
            <w:gridSpan w:val="4"/>
            <w:tcBorders>
              <w:top w:val="single" w:color="000000" w:sz="4" w:space="0"/>
              <w:left w:val="single" w:color="000000" w:sz="4" w:space="0"/>
              <w:bottom w:val="single" w:color="000000" w:sz="4" w:space="0"/>
              <w:right w:val="single" w:color="000000" w:sz="4" w:space="0"/>
            </w:tcBorders>
            <w:noWrap/>
            <w:vAlign w:val="center"/>
          </w:tcPr>
          <w:p w14:paraId="7CD99706">
            <w:pPr>
              <w:widowControl/>
              <w:jc w:val="center"/>
              <w:textAlignment w:val="center"/>
              <w:rPr>
                <w:rFonts w:hint="eastAsia"/>
              </w:rPr>
            </w:pPr>
            <w:r>
              <w:rPr>
                <w:rFonts w:hint="eastAsia"/>
              </w:rPr>
              <w:t>单款式最低起订量（个）：</w:t>
            </w:r>
          </w:p>
        </w:tc>
        <w:tc>
          <w:tcPr>
            <w:tcW w:w="5656" w:type="dxa"/>
            <w:gridSpan w:val="4"/>
            <w:tcBorders>
              <w:top w:val="single" w:color="000000" w:sz="4" w:space="0"/>
              <w:left w:val="single" w:color="000000" w:sz="4" w:space="0"/>
              <w:bottom w:val="single" w:color="000000" w:sz="4" w:space="0"/>
              <w:right w:val="single" w:color="auto" w:sz="4" w:space="0"/>
            </w:tcBorders>
            <w:vAlign w:val="center"/>
          </w:tcPr>
          <w:p w14:paraId="4283B7CB">
            <w:pPr>
              <w:jc w:val="center"/>
              <w:rPr>
                <w:rFonts w:hint="eastAsia" w:ascii="宋体" w:hAnsi="宋体" w:eastAsia="宋体" w:cs="宋体"/>
                <w:color w:val="000000"/>
                <w:szCs w:val="21"/>
              </w:rPr>
            </w:pPr>
          </w:p>
        </w:tc>
      </w:tr>
      <w:tr w14:paraId="30D43EAE">
        <w:tblPrEx>
          <w:tblCellMar>
            <w:top w:w="0" w:type="dxa"/>
            <w:left w:w="108" w:type="dxa"/>
            <w:bottom w:w="0" w:type="dxa"/>
            <w:right w:w="108" w:type="dxa"/>
          </w:tblCellMar>
        </w:tblPrEx>
        <w:trPr>
          <w:trHeight w:val="566" w:hRule="atLeast"/>
          <w:jc w:val="center"/>
        </w:trPr>
        <w:tc>
          <w:tcPr>
            <w:tcW w:w="3695" w:type="dxa"/>
            <w:gridSpan w:val="4"/>
            <w:tcBorders>
              <w:top w:val="single" w:color="000000" w:sz="4" w:space="0"/>
              <w:left w:val="single" w:color="000000" w:sz="4" w:space="0"/>
              <w:bottom w:val="single" w:color="000000" w:sz="4" w:space="0"/>
              <w:right w:val="single" w:color="000000" w:sz="4" w:space="0"/>
            </w:tcBorders>
            <w:noWrap/>
            <w:vAlign w:val="center"/>
          </w:tcPr>
          <w:p w14:paraId="63F8AAAF">
            <w:pPr>
              <w:widowControl/>
              <w:jc w:val="center"/>
              <w:textAlignment w:val="center"/>
              <w:rPr>
                <w:rFonts w:hint="eastAsia"/>
              </w:rPr>
            </w:pPr>
            <w:r>
              <w:rPr>
                <w:rFonts w:hint="eastAsia"/>
              </w:rPr>
              <w:t>到货周期（天）：</w:t>
            </w:r>
          </w:p>
        </w:tc>
        <w:tc>
          <w:tcPr>
            <w:tcW w:w="5656" w:type="dxa"/>
            <w:gridSpan w:val="4"/>
            <w:tcBorders>
              <w:top w:val="single" w:color="000000" w:sz="4" w:space="0"/>
              <w:left w:val="single" w:color="000000" w:sz="4" w:space="0"/>
              <w:bottom w:val="single" w:color="000000" w:sz="4" w:space="0"/>
              <w:right w:val="single" w:color="auto" w:sz="4" w:space="0"/>
            </w:tcBorders>
            <w:vAlign w:val="center"/>
          </w:tcPr>
          <w:p w14:paraId="55B8E273">
            <w:pPr>
              <w:jc w:val="center"/>
              <w:rPr>
                <w:rFonts w:hint="eastAsia" w:ascii="宋体" w:hAnsi="宋体" w:eastAsia="宋体" w:cs="宋体"/>
                <w:color w:val="000000"/>
                <w:szCs w:val="21"/>
              </w:rPr>
            </w:pPr>
            <w:r>
              <w:rPr>
                <w:rFonts w:hint="eastAsia" w:ascii="宋体" w:hAnsi="宋体" w:eastAsia="宋体" w:cs="宋体"/>
                <w:color w:val="000000"/>
                <w:szCs w:val="21"/>
              </w:rPr>
              <w:t>货期：</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天（月饼包材需在交货前</w:t>
            </w:r>
            <w:r>
              <w:rPr>
                <w:rFonts w:ascii="宋体" w:hAnsi="宋体" w:eastAsia="宋体" w:cs="宋体"/>
                <w:color w:val="000000"/>
                <w:szCs w:val="21"/>
                <w:u w:val="single"/>
              </w:rPr>
              <w:t xml:space="preserve">   </w:t>
            </w:r>
            <w:r>
              <w:rPr>
                <w:rFonts w:ascii="宋体" w:hAnsi="宋体" w:eastAsia="宋体" w:cs="宋体"/>
                <w:color w:val="000000"/>
                <w:szCs w:val="21"/>
              </w:rPr>
              <w:t>天到达</w:t>
            </w:r>
            <w:r>
              <w:rPr>
                <w:rFonts w:hint="eastAsia" w:ascii="宋体" w:hAnsi="宋体" w:eastAsia="宋体" w:cs="宋体"/>
                <w:color w:val="000000"/>
                <w:szCs w:val="21"/>
              </w:rPr>
              <w:t>月饼供货方</w:t>
            </w:r>
            <w:r>
              <w:rPr>
                <w:rFonts w:ascii="宋体" w:hAnsi="宋体" w:eastAsia="宋体" w:cs="宋体"/>
                <w:color w:val="000000"/>
                <w:szCs w:val="21"/>
              </w:rPr>
              <w:t>）</w:t>
            </w:r>
            <w:r>
              <w:rPr>
                <w:rFonts w:hint="eastAsia" w:ascii="宋体" w:hAnsi="宋体" w:eastAsia="宋体" w:cs="宋体"/>
                <w:b/>
                <w:bCs/>
                <w:color w:val="000000"/>
                <w:szCs w:val="21"/>
              </w:rPr>
              <w:t>（货期不得超过12天）</w:t>
            </w:r>
          </w:p>
        </w:tc>
      </w:tr>
      <w:tr w14:paraId="56933E76">
        <w:tblPrEx>
          <w:tblCellMar>
            <w:top w:w="0" w:type="dxa"/>
            <w:left w:w="108" w:type="dxa"/>
            <w:bottom w:w="0" w:type="dxa"/>
            <w:right w:w="108" w:type="dxa"/>
          </w:tblCellMar>
        </w:tblPrEx>
        <w:trPr>
          <w:trHeight w:val="566" w:hRule="atLeast"/>
          <w:jc w:val="center"/>
        </w:trPr>
        <w:tc>
          <w:tcPr>
            <w:tcW w:w="3695" w:type="dxa"/>
            <w:gridSpan w:val="4"/>
            <w:tcBorders>
              <w:top w:val="single" w:color="000000" w:sz="4" w:space="0"/>
              <w:left w:val="single" w:color="000000" w:sz="4" w:space="0"/>
              <w:bottom w:val="single" w:color="000000" w:sz="4" w:space="0"/>
              <w:right w:val="single" w:color="000000" w:sz="4" w:space="0"/>
            </w:tcBorders>
            <w:noWrap/>
            <w:vAlign w:val="center"/>
          </w:tcPr>
          <w:p w14:paraId="0F04E97B">
            <w:pPr>
              <w:widowControl/>
              <w:jc w:val="center"/>
              <w:textAlignment w:val="center"/>
              <w:rPr>
                <w:rFonts w:hint="eastAsia"/>
              </w:rPr>
            </w:pPr>
            <w:r>
              <w:rPr>
                <w:rFonts w:hint="eastAsia"/>
              </w:rPr>
              <w:t>月饼赠送比例（单一口味赠送比例不低于该口味订单总量 1%，赠品均以散饼形式随货配送）</w:t>
            </w:r>
          </w:p>
        </w:tc>
        <w:tc>
          <w:tcPr>
            <w:tcW w:w="5656" w:type="dxa"/>
            <w:gridSpan w:val="4"/>
            <w:tcBorders>
              <w:top w:val="single" w:color="000000" w:sz="4" w:space="0"/>
              <w:left w:val="single" w:color="000000" w:sz="4" w:space="0"/>
              <w:bottom w:val="single" w:color="000000" w:sz="4" w:space="0"/>
              <w:right w:val="single" w:color="auto" w:sz="4" w:space="0"/>
            </w:tcBorders>
            <w:vAlign w:val="center"/>
          </w:tcPr>
          <w:p w14:paraId="4A7DC8F5">
            <w:pPr>
              <w:jc w:val="center"/>
              <w:rPr>
                <w:rFonts w:hint="eastAsia" w:ascii="宋体" w:hAnsi="宋体" w:eastAsia="宋体" w:cs="宋体"/>
                <w:color w:val="000000"/>
                <w:szCs w:val="21"/>
              </w:rPr>
            </w:pPr>
          </w:p>
        </w:tc>
      </w:tr>
      <w:tr w14:paraId="32287E75">
        <w:tblPrEx>
          <w:tblCellMar>
            <w:top w:w="0" w:type="dxa"/>
            <w:left w:w="108" w:type="dxa"/>
            <w:bottom w:w="0" w:type="dxa"/>
            <w:right w:w="108" w:type="dxa"/>
          </w:tblCellMar>
        </w:tblPrEx>
        <w:trPr>
          <w:trHeight w:val="566" w:hRule="atLeast"/>
          <w:jc w:val="center"/>
        </w:trPr>
        <w:tc>
          <w:tcPr>
            <w:tcW w:w="3695" w:type="dxa"/>
            <w:gridSpan w:val="4"/>
            <w:tcBorders>
              <w:top w:val="single" w:color="000000" w:sz="4" w:space="0"/>
              <w:left w:val="single" w:color="000000" w:sz="4" w:space="0"/>
              <w:bottom w:val="single" w:color="000000" w:sz="4" w:space="0"/>
              <w:right w:val="single" w:color="000000" w:sz="4" w:space="0"/>
            </w:tcBorders>
            <w:noWrap/>
            <w:vAlign w:val="center"/>
          </w:tcPr>
          <w:p w14:paraId="1E3DE4D7">
            <w:pPr>
              <w:widowControl/>
              <w:jc w:val="center"/>
              <w:textAlignment w:val="center"/>
              <w:rPr>
                <w:rFonts w:hint="eastAsia"/>
              </w:rPr>
            </w:pPr>
            <w:r>
              <w:rPr>
                <w:rFonts w:hint="eastAsia"/>
              </w:rPr>
              <w:t>备注：</w:t>
            </w:r>
          </w:p>
        </w:tc>
        <w:tc>
          <w:tcPr>
            <w:tcW w:w="5656" w:type="dxa"/>
            <w:gridSpan w:val="4"/>
            <w:tcBorders>
              <w:top w:val="single" w:color="000000" w:sz="4" w:space="0"/>
              <w:left w:val="single" w:color="000000" w:sz="4" w:space="0"/>
              <w:bottom w:val="single" w:color="000000" w:sz="4" w:space="0"/>
              <w:right w:val="single" w:color="auto" w:sz="4" w:space="0"/>
            </w:tcBorders>
            <w:vAlign w:val="center"/>
          </w:tcPr>
          <w:p w14:paraId="4780C593">
            <w:pPr>
              <w:jc w:val="center"/>
              <w:rPr>
                <w:rFonts w:hint="eastAsia" w:ascii="宋体" w:hAnsi="宋体" w:eastAsia="宋体" w:cs="宋体"/>
                <w:color w:val="000000"/>
                <w:szCs w:val="21"/>
              </w:rPr>
            </w:pPr>
          </w:p>
        </w:tc>
      </w:tr>
    </w:tbl>
    <w:p w14:paraId="44C45743">
      <w:pPr>
        <w:spacing w:before="120" w:after="120" w:line="360" w:lineRule="auto"/>
        <w:ind w:firstLine="480" w:firstLineChars="200"/>
        <w:rPr>
          <w:rFonts w:hint="eastAsia" w:ascii="宋体" w:hAnsi="宋体" w:eastAsia="宋体" w:cs="Arial"/>
          <w:sz w:val="24"/>
        </w:rPr>
      </w:pPr>
      <w:r>
        <w:rPr>
          <w:rFonts w:hint="eastAsia" w:ascii="宋体" w:hAnsi="宋体" w:eastAsia="宋体" w:cs="Arial"/>
          <w:sz w:val="24"/>
        </w:rPr>
        <w:t>1.</w:t>
      </w:r>
      <w:r>
        <w:rPr>
          <w:rFonts w:hint="eastAsia" w:ascii="宋体" w:hAnsi="宋体" w:eastAsia="宋体" w:cs="Arial"/>
          <w:sz w:val="24"/>
        </w:rPr>
        <w:tab/>
      </w:r>
      <w:r>
        <w:rPr>
          <w:rFonts w:hint="eastAsia" w:ascii="宋体" w:hAnsi="宋体" w:eastAsia="宋体" w:cs="Arial"/>
          <w:sz w:val="24"/>
        </w:rPr>
        <w:t>本遴选项目设最高限价中大餐饮80.6万元，康乐园1万元，报价超过最高限价作无效响应处理。供应商应对项目所有的标的物进行报价，不允许只对其中部分内容进行响应。</w:t>
      </w:r>
    </w:p>
    <w:p w14:paraId="3B5481CD">
      <w:pPr>
        <w:spacing w:before="120" w:after="120" w:line="360" w:lineRule="auto"/>
        <w:ind w:firstLine="480" w:firstLineChars="200"/>
        <w:rPr>
          <w:rFonts w:hint="eastAsia" w:ascii="宋体" w:hAnsi="宋体" w:eastAsia="宋体" w:cs="Arial"/>
          <w:sz w:val="24"/>
        </w:rPr>
      </w:pPr>
      <w:r>
        <w:rPr>
          <w:rFonts w:hint="eastAsia" w:ascii="宋体" w:hAnsi="宋体" w:eastAsia="宋体" w:cs="Arial"/>
          <w:sz w:val="24"/>
        </w:rPr>
        <w:t>2.</w:t>
      </w:r>
      <w:r>
        <w:rPr>
          <w:rFonts w:hint="eastAsia" w:ascii="宋体" w:hAnsi="宋体" w:eastAsia="宋体" w:cs="Arial"/>
          <w:sz w:val="24"/>
        </w:rPr>
        <w:tab/>
      </w:r>
      <w:r>
        <w:rPr>
          <w:rFonts w:hint="eastAsia" w:ascii="宋体" w:hAnsi="宋体" w:eastAsia="宋体" w:cs="Arial"/>
          <w:sz w:val="24"/>
        </w:rPr>
        <w:t>本项目报价不接受低于成本的报价，如参选报价低于最高限价50%的，则供应商需要提供《成本分析说明》及相关证明材料，如遴选小组认为该《成本分析说明》不合理或解析不充分的，则有权否决该供应商的报价。</w:t>
      </w:r>
    </w:p>
    <w:p w14:paraId="5179343A">
      <w:pPr>
        <w:spacing w:before="120" w:after="120" w:line="360" w:lineRule="auto"/>
        <w:ind w:firstLine="480" w:firstLineChars="200"/>
        <w:rPr>
          <w:rFonts w:hint="eastAsia" w:ascii="宋体" w:hAnsi="宋体" w:eastAsia="宋体" w:cs="Arial"/>
          <w:sz w:val="24"/>
        </w:rPr>
      </w:pPr>
      <w:r>
        <w:rPr>
          <w:rFonts w:hint="eastAsia" w:ascii="宋体" w:hAnsi="宋体" w:eastAsia="宋体" w:cs="Arial"/>
          <w:sz w:val="24"/>
        </w:rPr>
        <w:t>3.</w:t>
      </w:r>
      <w:r>
        <w:rPr>
          <w:rFonts w:hint="eastAsia" w:ascii="宋体" w:hAnsi="宋体" w:eastAsia="宋体" w:cs="Arial"/>
          <w:sz w:val="24"/>
        </w:rPr>
        <w:tab/>
      </w:r>
      <w:r>
        <w:rPr>
          <w:rFonts w:hint="eastAsia" w:ascii="宋体" w:hAnsi="宋体" w:eastAsia="宋体" w:cs="Arial"/>
          <w:sz w:val="24"/>
        </w:rPr>
        <w:t>本项目包装形式：各月饼</w:t>
      </w:r>
      <w:r>
        <w:rPr>
          <w:rFonts w:hint="eastAsia" w:ascii="宋体" w:hAnsi="宋体" w:eastAsia="宋体" w:cs="宋体"/>
          <w:color w:val="000000"/>
          <w:kern w:val="0"/>
          <w:szCs w:val="21"/>
          <w:lang w:bidi="ar"/>
        </w:rPr>
        <w:t>单个独立包装（月饼底托+卷膜）；</w:t>
      </w:r>
      <w:r>
        <w:rPr>
          <w:rFonts w:ascii="宋体" w:hAnsi="宋体" w:eastAsia="宋体" w:cs="Arial"/>
          <w:b/>
          <w:bCs/>
          <w:sz w:val="24"/>
        </w:rPr>
        <w:t>60克月饼内托外径不得超过7</w:t>
      </w:r>
      <w:r>
        <w:rPr>
          <w:rFonts w:hint="eastAsia" w:ascii="宋体" w:hAnsi="宋体" w:eastAsia="宋体" w:cs="Arial"/>
          <w:b/>
          <w:bCs/>
          <w:sz w:val="24"/>
        </w:rPr>
        <w:t>0</w:t>
      </w:r>
      <w:r>
        <w:rPr>
          <w:rFonts w:ascii="宋体" w:hAnsi="宋体" w:eastAsia="宋体" w:cs="Arial"/>
          <w:b/>
          <w:bCs/>
          <w:sz w:val="24"/>
        </w:rPr>
        <w:t>mm</w:t>
      </w:r>
      <w:r>
        <w:rPr>
          <w:rFonts w:hint="eastAsia" w:ascii="宋体" w:hAnsi="宋体" w:eastAsia="宋体" w:cs="Arial"/>
          <w:sz w:val="24"/>
        </w:rPr>
        <w:t>。</w:t>
      </w:r>
    </w:p>
    <w:p w14:paraId="2A03D82A">
      <w:pPr>
        <w:spacing w:before="120" w:after="120" w:line="360" w:lineRule="auto"/>
        <w:ind w:firstLine="480" w:firstLineChars="200"/>
        <w:rPr>
          <w:rFonts w:hint="eastAsia" w:ascii="宋体" w:hAnsi="宋体" w:eastAsia="宋体" w:cs="Arial"/>
          <w:b/>
          <w:bCs/>
          <w:sz w:val="24"/>
        </w:rPr>
      </w:pPr>
      <w:r>
        <w:rPr>
          <w:rFonts w:hint="eastAsia" w:ascii="宋体" w:hAnsi="宋体" w:eastAsia="宋体" w:cs="Arial"/>
          <w:sz w:val="24"/>
        </w:rPr>
        <w:t>4.报价包含但不限于月饼开模（按照参选人设计图开模）、制作加工、包装（含脱氧剂、干燥剂、独立包装饼托、卷膜等费用）采购、组装（预计组装礼盒数量：</w:t>
      </w:r>
      <w:r>
        <w:rPr>
          <w:rFonts w:hint="eastAsia" w:ascii="宋体" w:hAnsi="宋体" w:eastAsia="宋体" w:cs="Arial"/>
          <w:b/>
          <w:bCs/>
          <w:sz w:val="24"/>
        </w:rPr>
        <w:t>礼盒一：中大月圆礼盒（广式传统系列）（传统4个装）中大餐饮约8000盒、康乐园约100盒；礼盒二：中大团圆礼盒（低糖健康系列）（传统4个装）中大餐饮约6000盒、康乐园约100盒；礼盒三：康乐情怀礼盒（精品豆沙系列）（传统4个装）中大餐饮约6000盒；礼盒四：逸仙皓月礼盒（大师手制系列）（传统口味及新式口味5个装）中大餐饮约6000盒、康乐园约180盒，由新式口味供应商负责组装，组装费用由传统口味月饼供货方支付给新式口味供货方，组装费不超过</w:t>
      </w:r>
      <w:r>
        <w:rPr>
          <w:rFonts w:ascii="宋体" w:hAnsi="宋体" w:eastAsia="宋体" w:cs="Arial"/>
          <w:b/>
          <w:bCs/>
          <w:sz w:val="24"/>
        </w:rPr>
        <w:t>0.5元/盒</w:t>
      </w:r>
      <w:r>
        <w:rPr>
          <w:rFonts w:hint="eastAsia" w:ascii="宋体" w:hAnsi="宋体" w:eastAsia="宋体" w:cs="Arial"/>
          <w:b/>
          <w:bCs/>
          <w:sz w:val="24"/>
        </w:rPr>
        <w:t>；单饼12000盒</w:t>
      </w:r>
      <w:r>
        <w:rPr>
          <w:rFonts w:hint="eastAsia" w:ascii="宋体" w:hAnsi="宋体" w:eastAsia="宋体" w:cs="Arial"/>
          <w:sz w:val="24"/>
        </w:rPr>
        <w:t>）、运输（含送货至甲方指定收货地点的运输费、装卸费、搬运费）、损耗、保管、装卸车、配合、协调、检测、办理相关手续、保险、多次搬运、差旅费用、抽检、管理、利润、税金、人工等乙方完成合同约定义务所需的一切费用。</w:t>
      </w:r>
    </w:p>
    <w:p w14:paraId="4439172B">
      <w:pPr>
        <w:spacing w:before="120" w:after="120" w:line="360" w:lineRule="auto"/>
        <w:ind w:firstLine="480" w:firstLineChars="200"/>
        <w:rPr>
          <w:rFonts w:hint="eastAsia" w:ascii="宋体" w:hAnsi="宋体" w:eastAsia="宋体" w:cs="Arial"/>
          <w:sz w:val="24"/>
        </w:rPr>
      </w:pPr>
      <w:r>
        <w:rPr>
          <w:rFonts w:hint="eastAsia" w:ascii="宋体" w:hAnsi="宋体" w:eastAsia="宋体" w:cs="Arial"/>
          <w:sz w:val="24"/>
        </w:rPr>
        <w:t>5.报价包含根据实际订单配送的月饼套数，提供公版刀叉含证件（厂家营业执照、生产许可证、第三方检测报告、批次报告）。</w:t>
      </w:r>
    </w:p>
    <w:p w14:paraId="5D3AA077">
      <w:pPr>
        <w:spacing w:before="120" w:after="120" w:line="360" w:lineRule="auto"/>
        <w:ind w:firstLine="480" w:firstLineChars="200"/>
        <w:rPr>
          <w:rFonts w:hint="eastAsia" w:ascii="宋体" w:hAnsi="宋体" w:eastAsia="宋体" w:cs="Arial"/>
          <w:sz w:val="24"/>
        </w:rPr>
      </w:pPr>
      <w:r>
        <w:rPr>
          <w:rFonts w:hint="eastAsia" w:ascii="宋体" w:hAnsi="宋体" w:eastAsia="宋体" w:cs="Arial"/>
          <w:sz w:val="24"/>
        </w:rPr>
        <w:t>6.报价清单数量为预估数量，具体数量以实际订单为准，结算按实际订单数量的月饼的价格总和计算。</w:t>
      </w:r>
    </w:p>
    <w:p w14:paraId="2D2AD8E3">
      <w:pPr>
        <w:spacing w:before="120" w:after="120" w:line="360" w:lineRule="auto"/>
        <w:ind w:firstLine="480" w:firstLineChars="200"/>
        <w:jc w:val="right"/>
        <w:rPr>
          <w:rFonts w:hint="eastAsia" w:ascii="宋体" w:hAnsi="宋体" w:eastAsia="宋体"/>
          <w:sz w:val="24"/>
        </w:rPr>
      </w:pPr>
      <w:r>
        <w:rPr>
          <w:rFonts w:ascii="宋体" w:hAnsi="宋体" w:eastAsia="宋体" w:cs="Arial"/>
          <w:sz w:val="24"/>
        </w:rPr>
        <w:t>供应商（加盖公章）：________________________</w:t>
      </w:r>
    </w:p>
    <w:p w14:paraId="5F1CCB3A">
      <w:pPr>
        <w:spacing w:before="120" w:after="120" w:line="360" w:lineRule="auto"/>
        <w:ind w:firstLine="3600" w:firstLineChars="1500"/>
        <w:rPr>
          <w:rFonts w:hint="eastAsia" w:ascii="宋体" w:hAnsi="宋体" w:eastAsia="宋体" w:cs="Arial"/>
          <w:sz w:val="24"/>
        </w:rPr>
      </w:pPr>
      <w:r>
        <w:rPr>
          <w:rFonts w:ascii="宋体" w:hAnsi="宋体" w:eastAsia="宋体" w:cs="Arial"/>
          <w:sz w:val="24"/>
        </w:rPr>
        <w:t>日    期：____年____月____日</w:t>
      </w:r>
    </w:p>
    <w:p w14:paraId="28628B60">
      <w:pPr>
        <w:widowControl/>
        <w:spacing w:after="0" w:line="240" w:lineRule="auto"/>
        <w:rPr>
          <w:rFonts w:hint="eastAsia" w:ascii="宋体" w:hAnsi="宋体" w:eastAsia="宋体" w:cs="Arial"/>
          <w:sz w:val="24"/>
        </w:rPr>
      </w:pPr>
      <w:r>
        <w:rPr>
          <w:rFonts w:hint="eastAsia" w:ascii="宋体" w:hAnsi="宋体" w:eastAsia="宋体" w:cs="Arial"/>
          <w:sz w:val="24"/>
        </w:rPr>
        <w:br w:type="page"/>
      </w:r>
    </w:p>
    <w:p w14:paraId="7D3676B2">
      <w:pPr>
        <w:spacing w:before="120" w:after="120" w:line="360" w:lineRule="auto"/>
        <w:rPr>
          <w:rFonts w:hint="eastAsia" w:ascii="宋体" w:hAnsi="宋体" w:eastAsia="宋体" w:cs="Arial"/>
          <w:sz w:val="24"/>
        </w:rPr>
      </w:pPr>
      <w:r>
        <w:rPr>
          <w:rFonts w:hint="eastAsia" w:ascii="宋体" w:hAnsi="宋体" w:eastAsia="宋体" w:cs="Arial"/>
          <w:sz w:val="24"/>
        </w:rPr>
        <w:t>子包二（新式口味）：</w:t>
      </w:r>
    </w:p>
    <w:tbl>
      <w:tblPr>
        <w:tblStyle w:val="8"/>
        <w:tblW w:w="9351" w:type="dxa"/>
        <w:jc w:val="center"/>
        <w:tblLayout w:type="fixed"/>
        <w:tblCellMar>
          <w:top w:w="0" w:type="dxa"/>
          <w:left w:w="108" w:type="dxa"/>
          <w:bottom w:w="0" w:type="dxa"/>
          <w:right w:w="108" w:type="dxa"/>
        </w:tblCellMar>
      </w:tblPr>
      <w:tblGrid>
        <w:gridCol w:w="709"/>
        <w:gridCol w:w="2121"/>
        <w:gridCol w:w="857"/>
        <w:gridCol w:w="8"/>
        <w:gridCol w:w="1107"/>
        <w:gridCol w:w="1430"/>
        <w:gridCol w:w="1276"/>
        <w:gridCol w:w="1843"/>
      </w:tblGrid>
      <w:tr w14:paraId="006D5C57">
        <w:tblPrEx>
          <w:tblCellMar>
            <w:top w:w="0" w:type="dxa"/>
            <w:left w:w="108" w:type="dxa"/>
            <w:bottom w:w="0" w:type="dxa"/>
            <w:right w:w="108" w:type="dxa"/>
          </w:tblCellMar>
        </w:tblPrEx>
        <w:trPr>
          <w:trHeight w:val="561" w:hRule="atLeast"/>
          <w:jc w:val="center"/>
        </w:trPr>
        <w:tc>
          <w:tcPr>
            <w:tcW w:w="709" w:type="dxa"/>
            <w:vMerge w:val="restart"/>
            <w:tcBorders>
              <w:top w:val="single" w:color="auto" w:sz="4" w:space="0"/>
              <w:left w:val="single" w:color="auto" w:sz="4" w:space="0"/>
              <w:bottom w:val="single" w:color="auto" w:sz="4" w:space="0"/>
              <w:right w:val="single" w:color="auto" w:sz="4" w:space="0"/>
            </w:tcBorders>
            <w:noWrap/>
            <w:vAlign w:val="center"/>
          </w:tcPr>
          <w:p w14:paraId="69CC1539">
            <w:pPr>
              <w:widowControl/>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lang w:bidi="ar"/>
              </w:rPr>
              <w:t>序号</w:t>
            </w:r>
          </w:p>
        </w:tc>
        <w:tc>
          <w:tcPr>
            <w:tcW w:w="2121" w:type="dxa"/>
            <w:vMerge w:val="restart"/>
            <w:tcBorders>
              <w:top w:val="single" w:color="auto" w:sz="4" w:space="0"/>
              <w:left w:val="single" w:color="auto" w:sz="4" w:space="0"/>
              <w:bottom w:val="single" w:color="auto" w:sz="4" w:space="0"/>
              <w:right w:val="single" w:color="auto" w:sz="4" w:space="0"/>
            </w:tcBorders>
            <w:noWrap/>
            <w:vAlign w:val="center"/>
          </w:tcPr>
          <w:p w14:paraId="55570A0A">
            <w:pPr>
              <w:widowControl/>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lang w:bidi="ar"/>
              </w:rPr>
              <w:t xml:space="preserve">品 </w:t>
            </w:r>
            <w:r>
              <w:rPr>
                <w:rStyle w:val="19"/>
                <w:rFonts w:hint="default"/>
                <w:lang w:bidi="ar"/>
              </w:rPr>
              <w:t xml:space="preserve"> 种</w:t>
            </w:r>
          </w:p>
        </w:tc>
        <w:tc>
          <w:tcPr>
            <w:tcW w:w="857" w:type="dxa"/>
            <w:vMerge w:val="restart"/>
            <w:tcBorders>
              <w:top w:val="single" w:color="auto" w:sz="4" w:space="0"/>
              <w:left w:val="single" w:color="auto" w:sz="4" w:space="0"/>
              <w:bottom w:val="single" w:color="auto" w:sz="4" w:space="0"/>
              <w:right w:val="single" w:color="auto" w:sz="4" w:space="0"/>
            </w:tcBorders>
            <w:vAlign w:val="center"/>
          </w:tcPr>
          <w:p w14:paraId="072915C7">
            <w:pPr>
              <w:widowControl/>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lang w:bidi="ar"/>
              </w:rPr>
              <w:t>规格</w:t>
            </w:r>
          </w:p>
        </w:tc>
        <w:tc>
          <w:tcPr>
            <w:tcW w:w="1115" w:type="dxa"/>
            <w:gridSpan w:val="2"/>
            <w:tcBorders>
              <w:top w:val="single" w:color="auto" w:sz="4" w:space="0"/>
              <w:left w:val="single" w:color="auto" w:sz="4" w:space="0"/>
              <w:bottom w:val="single" w:color="auto" w:sz="4" w:space="0"/>
              <w:right w:val="single" w:color="auto" w:sz="4" w:space="0"/>
            </w:tcBorders>
            <w:vAlign w:val="center"/>
          </w:tcPr>
          <w:p w14:paraId="4E35153C">
            <w:pPr>
              <w:widowControl/>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lang w:bidi="ar"/>
              </w:rPr>
              <w:t>中大餐饮</w:t>
            </w:r>
          </w:p>
        </w:tc>
        <w:tc>
          <w:tcPr>
            <w:tcW w:w="1430" w:type="dxa"/>
            <w:tcBorders>
              <w:top w:val="single" w:color="auto" w:sz="4" w:space="0"/>
              <w:left w:val="single" w:color="auto" w:sz="4" w:space="0"/>
              <w:bottom w:val="single" w:color="auto" w:sz="4" w:space="0"/>
              <w:right w:val="single" w:color="auto" w:sz="4" w:space="0"/>
            </w:tcBorders>
            <w:vAlign w:val="center"/>
          </w:tcPr>
          <w:p w14:paraId="657C8380">
            <w:pPr>
              <w:widowControl/>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lang w:bidi="ar"/>
              </w:rPr>
              <w:t>康乐园餐饮</w:t>
            </w:r>
          </w:p>
        </w:tc>
        <w:tc>
          <w:tcPr>
            <w:tcW w:w="1276" w:type="dxa"/>
            <w:vMerge w:val="restart"/>
            <w:tcBorders>
              <w:top w:val="single" w:color="auto" w:sz="4" w:space="0"/>
              <w:left w:val="single" w:color="auto" w:sz="4" w:space="0"/>
              <w:right w:val="single" w:color="auto" w:sz="4" w:space="0"/>
            </w:tcBorders>
            <w:vAlign w:val="center"/>
          </w:tcPr>
          <w:p w14:paraId="74CDA422">
            <w:pPr>
              <w:widowControl/>
              <w:jc w:val="center"/>
              <w:textAlignment w:val="center"/>
              <w:rPr>
                <w:rFonts w:hint="eastAsia" w:ascii="宋体" w:hAnsi="宋体" w:eastAsia="宋体" w:cs="宋体"/>
                <w:b/>
                <w:bCs/>
                <w:color w:val="000000"/>
                <w:kern w:val="0"/>
                <w:szCs w:val="21"/>
                <w:lang w:bidi="ar"/>
              </w:rPr>
            </w:pPr>
            <w:r>
              <w:rPr>
                <w:rFonts w:hint="eastAsia" w:ascii="宋体" w:hAnsi="宋体" w:eastAsia="宋体" w:cs="宋体"/>
                <w:b/>
                <w:bCs/>
                <w:color w:val="000000"/>
                <w:kern w:val="0"/>
                <w:szCs w:val="21"/>
                <w:lang w:bidi="ar"/>
              </w:rPr>
              <w:t>含税单价（元/个）</w:t>
            </w:r>
          </w:p>
        </w:tc>
        <w:tc>
          <w:tcPr>
            <w:tcW w:w="1843" w:type="dxa"/>
            <w:vMerge w:val="restart"/>
            <w:tcBorders>
              <w:top w:val="single" w:color="auto" w:sz="4" w:space="0"/>
              <w:left w:val="single" w:color="auto" w:sz="4" w:space="0"/>
              <w:bottom w:val="single" w:color="auto" w:sz="4" w:space="0"/>
              <w:right w:val="single" w:color="auto" w:sz="4" w:space="0"/>
            </w:tcBorders>
            <w:vAlign w:val="center"/>
          </w:tcPr>
          <w:p w14:paraId="101E9601">
            <w:pPr>
              <w:widowControl/>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lang w:bidi="ar"/>
              </w:rPr>
              <w:t>主要成分</w:t>
            </w:r>
          </w:p>
        </w:tc>
      </w:tr>
      <w:tr w14:paraId="19FCA061">
        <w:tblPrEx>
          <w:tblCellMar>
            <w:top w:w="0" w:type="dxa"/>
            <w:left w:w="108" w:type="dxa"/>
            <w:bottom w:w="0" w:type="dxa"/>
            <w:right w:w="108" w:type="dxa"/>
          </w:tblCellMar>
        </w:tblPrEx>
        <w:trPr>
          <w:trHeight w:val="673" w:hRule="atLeast"/>
          <w:jc w:val="center"/>
        </w:trPr>
        <w:tc>
          <w:tcPr>
            <w:tcW w:w="709" w:type="dxa"/>
            <w:vMerge w:val="continue"/>
            <w:tcBorders>
              <w:top w:val="single" w:color="auto" w:sz="4" w:space="0"/>
              <w:left w:val="single" w:color="auto" w:sz="4" w:space="0"/>
              <w:bottom w:val="single" w:color="auto" w:sz="4" w:space="0"/>
              <w:right w:val="single" w:color="auto" w:sz="4" w:space="0"/>
            </w:tcBorders>
            <w:noWrap/>
            <w:vAlign w:val="center"/>
          </w:tcPr>
          <w:p w14:paraId="7E7C1D04">
            <w:pPr>
              <w:jc w:val="center"/>
              <w:rPr>
                <w:rFonts w:hint="eastAsia" w:ascii="宋体" w:hAnsi="宋体" w:eastAsia="宋体" w:cs="宋体"/>
                <w:b/>
                <w:bCs/>
                <w:color w:val="000000"/>
                <w:szCs w:val="21"/>
              </w:rPr>
            </w:pPr>
          </w:p>
        </w:tc>
        <w:tc>
          <w:tcPr>
            <w:tcW w:w="2121" w:type="dxa"/>
            <w:vMerge w:val="continue"/>
            <w:tcBorders>
              <w:top w:val="single" w:color="auto" w:sz="4" w:space="0"/>
              <w:left w:val="single" w:color="auto" w:sz="4" w:space="0"/>
              <w:bottom w:val="single" w:color="auto" w:sz="4" w:space="0"/>
              <w:right w:val="single" w:color="auto" w:sz="4" w:space="0"/>
            </w:tcBorders>
            <w:noWrap/>
            <w:vAlign w:val="center"/>
          </w:tcPr>
          <w:p w14:paraId="7A72111F">
            <w:pPr>
              <w:jc w:val="center"/>
              <w:rPr>
                <w:rFonts w:hint="eastAsia" w:ascii="宋体" w:hAnsi="宋体" w:eastAsia="宋体" w:cs="宋体"/>
                <w:b/>
                <w:bCs/>
                <w:color w:val="000000"/>
                <w:szCs w:val="21"/>
              </w:rPr>
            </w:pPr>
          </w:p>
        </w:tc>
        <w:tc>
          <w:tcPr>
            <w:tcW w:w="857" w:type="dxa"/>
            <w:vMerge w:val="continue"/>
            <w:tcBorders>
              <w:top w:val="single" w:color="auto" w:sz="4" w:space="0"/>
              <w:left w:val="single" w:color="auto" w:sz="4" w:space="0"/>
              <w:bottom w:val="single" w:color="auto" w:sz="4" w:space="0"/>
              <w:right w:val="single" w:color="auto" w:sz="4" w:space="0"/>
            </w:tcBorders>
            <w:vAlign w:val="center"/>
          </w:tcPr>
          <w:p w14:paraId="0507C295">
            <w:pPr>
              <w:jc w:val="center"/>
              <w:rPr>
                <w:rFonts w:hint="eastAsia" w:ascii="宋体" w:hAnsi="宋体" w:eastAsia="宋体" w:cs="宋体"/>
                <w:b/>
                <w:bCs/>
                <w:color w:val="000000"/>
                <w:szCs w:val="21"/>
              </w:rPr>
            </w:pPr>
          </w:p>
        </w:tc>
        <w:tc>
          <w:tcPr>
            <w:tcW w:w="1115" w:type="dxa"/>
            <w:gridSpan w:val="2"/>
            <w:tcBorders>
              <w:top w:val="single" w:color="auto" w:sz="4" w:space="0"/>
              <w:left w:val="single" w:color="auto" w:sz="4" w:space="0"/>
              <w:bottom w:val="single" w:color="auto" w:sz="4" w:space="0"/>
              <w:right w:val="single" w:color="auto" w:sz="4" w:space="0"/>
            </w:tcBorders>
            <w:vAlign w:val="center"/>
          </w:tcPr>
          <w:p w14:paraId="15C08C66">
            <w:pPr>
              <w:widowControl/>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lang w:bidi="ar"/>
              </w:rPr>
              <w:t>预估数量（个）</w:t>
            </w:r>
          </w:p>
        </w:tc>
        <w:tc>
          <w:tcPr>
            <w:tcW w:w="1430" w:type="dxa"/>
            <w:tcBorders>
              <w:top w:val="single" w:color="auto" w:sz="4" w:space="0"/>
              <w:left w:val="single" w:color="auto" w:sz="4" w:space="0"/>
              <w:bottom w:val="single" w:color="auto" w:sz="4" w:space="0"/>
              <w:right w:val="single" w:color="auto" w:sz="4" w:space="0"/>
            </w:tcBorders>
            <w:vAlign w:val="center"/>
          </w:tcPr>
          <w:p w14:paraId="16D6D65C">
            <w:pPr>
              <w:widowControl/>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lang w:bidi="ar"/>
              </w:rPr>
              <w:t>预估数量（个）</w:t>
            </w:r>
          </w:p>
        </w:tc>
        <w:tc>
          <w:tcPr>
            <w:tcW w:w="1276" w:type="dxa"/>
            <w:vMerge w:val="continue"/>
            <w:tcBorders>
              <w:left w:val="single" w:color="auto" w:sz="4" w:space="0"/>
              <w:bottom w:val="single" w:color="auto" w:sz="4" w:space="0"/>
              <w:right w:val="single" w:color="auto" w:sz="4" w:space="0"/>
            </w:tcBorders>
            <w:vAlign w:val="center"/>
          </w:tcPr>
          <w:p w14:paraId="4AEA4ED4">
            <w:pPr>
              <w:jc w:val="center"/>
              <w:rPr>
                <w:rFonts w:hint="eastAsia" w:ascii="宋体" w:hAnsi="宋体" w:eastAsia="宋体" w:cs="宋体"/>
                <w:b/>
                <w:bCs/>
                <w:color w:val="000000"/>
                <w:szCs w:val="21"/>
              </w:rPr>
            </w:pPr>
          </w:p>
        </w:tc>
        <w:tc>
          <w:tcPr>
            <w:tcW w:w="1843" w:type="dxa"/>
            <w:vMerge w:val="continue"/>
            <w:tcBorders>
              <w:top w:val="single" w:color="auto" w:sz="4" w:space="0"/>
              <w:left w:val="single" w:color="auto" w:sz="4" w:space="0"/>
              <w:bottom w:val="single" w:color="auto" w:sz="4" w:space="0"/>
              <w:right w:val="single" w:color="auto" w:sz="4" w:space="0"/>
            </w:tcBorders>
            <w:vAlign w:val="center"/>
          </w:tcPr>
          <w:p w14:paraId="19DEF8D4">
            <w:pPr>
              <w:jc w:val="center"/>
              <w:rPr>
                <w:rFonts w:hint="eastAsia" w:ascii="宋体" w:hAnsi="宋体" w:eastAsia="宋体" w:cs="宋体"/>
                <w:b/>
                <w:bCs/>
                <w:color w:val="000000"/>
                <w:szCs w:val="21"/>
              </w:rPr>
            </w:pPr>
          </w:p>
        </w:tc>
      </w:tr>
      <w:tr w14:paraId="21346CFD">
        <w:tblPrEx>
          <w:tblCellMar>
            <w:top w:w="0" w:type="dxa"/>
            <w:left w:w="108" w:type="dxa"/>
            <w:bottom w:w="0" w:type="dxa"/>
            <w:right w:w="108" w:type="dxa"/>
          </w:tblCellMar>
        </w:tblPrEx>
        <w:trPr>
          <w:trHeight w:val="501" w:hRule="atLeast"/>
          <w:jc w:val="center"/>
        </w:trPr>
        <w:tc>
          <w:tcPr>
            <w:tcW w:w="709" w:type="dxa"/>
            <w:tcBorders>
              <w:top w:val="single" w:color="000000" w:sz="4" w:space="0"/>
              <w:left w:val="single" w:color="000000" w:sz="4" w:space="0"/>
              <w:bottom w:val="single" w:color="000000" w:sz="4" w:space="0"/>
              <w:right w:val="single" w:color="000000" w:sz="4" w:space="0"/>
            </w:tcBorders>
            <w:noWrap/>
            <w:vAlign w:val="center"/>
          </w:tcPr>
          <w:p w14:paraId="1C2AC3C5">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w:t>
            </w:r>
          </w:p>
        </w:tc>
        <w:tc>
          <w:tcPr>
            <w:tcW w:w="2121" w:type="dxa"/>
            <w:tcBorders>
              <w:top w:val="single" w:color="auto" w:sz="4" w:space="0"/>
              <w:left w:val="single" w:color="auto" w:sz="8" w:space="0"/>
              <w:bottom w:val="single" w:color="auto" w:sz="4" w:space="0"/>
              <w:right w:val="single" w:color="auto" w:sz="4" w:space="0"/>
            </w:tcBorders>
            <w:shd w:val="clear" w:color="000000" w:fill="FFFFFF"/>
            <w:noWrap/>
            <w:vAlign w:val="center"/>
          </w:tcPr>
          <w:p w14:paraId="2FA5197C">
            <w:pPr>
              <w:widowControl/>
              <w:jc w:val="center"/>
              <w:textAlignment w:val="center"/>
              <w:rPr>
                <w:rFonts w:hint="eastAsia"/>
                <w:color w:val="000000"/>
                <w:sz w:val="18"/>
                <w:szCs w:val="18"/>
              </w:rPr>
            </w:pPr>
            <w:r>
              <w:rPr>
                <w:rFonts w:hint="eastAsia"/>
                <w:color w:val="000000"/>
                <w:sz w:val="18"/>
                <w:szCs w:val="18"/>
              </w:rPr>
              <w:t>低糖红豆沙月饼</w:t>
            </w:r>
          </w:p>
        </w:tc>
        <w:tc>
          <w:tcPr>
            <w:tcW w:w="857" w:type="dxa"/>
            <w:tcBorders>
              <w:top w:val="single" w:color="auto" w:sz="4" w:space="0"/>
              <w:left w:val="nil"/>
              <w:bottom w:val="single" w:color="auto" w:sz="4" w:space="0"/>
              <w:right w:val="single" w:color="auto" w:sz="4" w:space="0"/>
            </w:tcBorders>
            <w:shd w:val="clear" w:color="000000" w:fill="FFFFFF"/>
            <w:vAlign w:val="center"/>
          </w:tcPr>
          <w:p w14:paraId="6BCF775F">
            <w:pPr>
              <w:widowControl/>
              <w:jc w:val="center"/>
              <w:textAlignment w:val="center"/>
              <w:rPr>
                <w:rFonts w:hint="eastAsia"/>
                <w:color w:val="000000"/>
                <w:sz w:val="18"/>
                <w:szCs w:val="18"/>
              </w:rPr>
            </w:pPr>
            <w:r>
              <w:rPr>
                <w:rFonts w:hint="eastAsia"/>
                <w:color w:val="000000"/>
                <w:sz w:val="18"/>
                <w:szCs w:val="18"/>
              </w:rPr>
              <w:t>60g/个</w:t>
            </w:r>
          </w:p>
        </w:tc>
        <w:tc>
          <w:tcPr>
            <w:tcW w:w="1115" w:type="dxa"/>
            <w:gridSpan w:val="2"/>
            <w:tcBorders>
              <w:top w:val="single" w:color="auto" w:sz="4" w:space="0"/>
              <w:left w:val="nil"/>
              <w:bottom w:val="single" w:color="auto" w:sz="4" w:space="0"/>
              <w:right w:val="single" w:color="auto" w:sz="4" w:space="0"/>
            </w:tcBorders>
            <w:shd w:val="clear" w:color="000000" w:fill="FFFFFF"/>
            <w:vAlign w:val="center"/>
          </w:tcPr>
          <w:p w14:paraId="112362BD">
            <w:pPr>
              <w:widowControl/>
              <w:jc w:val="center"/>
              <w:textAlignment w:val="center"/>
              <w:rPr>
                <w:rFonts w:hint="eastAsia"/>
                <w:color w:val="000000"/>
                <w:sz w:val="18"/>
                <w:szCs w:val="18"/>
              </w:rPr>
            </w:pPr>
            <w:r>
              <w:rPr>
                <w:rFonts w:hint="eastAsia"/>
                <w:color w:val="000000"/>
                <w:sz w:val="18"/>
                <w:szCs w:val="18"/>
              </w:rPr>
              <w:t>4500</w:t>
            </w:r>
          </w:p>
        </w:tc>
        <w:tc>
          <w:tcPr>
            <w:tcW w:w="1430" w:type="dxa"/>
            <w:tcBorders>
              <w:top w:val="single" w:color="auto" w:sz="4" w:space="0"/>
              <w:left w:val="single" w:color="auto" w:sz="4" w:space="0"/>
              <w:bottom w:val="single" w:color="auto" w:sz="4" w:space="0"/>
              <w:right w:val="single" w:color="auto" w:sz="4" w:space="0"/>
            </w:tcBorders>
            <w:vAlign w:val="center"/>
          </w:tcPr>
          <w:p w14:paraId="158F9D71">
            <w:pPr>
              <w:widowControl/>
              <w:jc w:val="center"/>
              <w:textAlignment w:val="center"/>
              <w:rPr>
                <w:rFonts w:hint="eastAsia"/>
                <w:color w:val="000000"/>
                <w:sz w:val="18"/>
                <w:szCs w:val="18"/>
              </w:rPr>
            </w:pPr>
            <w:r>
              <w:rPr>
                <w:rFonts w:hint="eastAsia"/>
                <w:color w:val="000000"/>
                <w:sz w:val="18"/>
                <w:szCs w:val="18"/>
              </w:rPr>
              <w:t>0</w:t>
            </w:r>
          </w:p>
        </w:tc>
        <w:tc>
          <w:tcPr>
            <w:tcW w:w="1276" w:type="dxa"/>
            <w:tcBorders>
              <w:top w:val="single" w:color="auto" w:sz="4" w:space="0"/>
              <w:left w:val="single" w:color="auto" w:sz="4" w:space="0"/>
              <w:bottom w:val="single" w:color="auto" w:sz="4" w:space="0"/>
              <w:right w:val="single" w:color="auto" w:sz="4" w:space="0"/>
            </w:tcBorders>
            <w:vAlign w:val="center"/>
          </w:tcPr>
          <w:p w14:paraId="4197B50B">
            <w:pPr>
              <w:jc w:val="center"/>
              <w:rPr>
                <w:rFonts w:hint="eastAsia" w:ascii="宋体" w:hAnsi="宋体" w:eastAsia="宋体" w:cs="宋体"/>
                <w:color w:val="000000"/>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74093B4A">
            <w:pPr>
              <w:jc w:val="center"/>
              <w:rPr>
                <w:rFonts w:hint="eastAsia" w:ascii="宋体" w:hAnsi="宋体" w:eastAsia="宋体" w:cs="宋体"/>
                <w:color w:val="000000"/>
                <w:szCs w:val="21"/>
              </w:rPr>
            </w:pPr>
          </w:p>
        </w:tc>
      </w:tr>
      <w:tr w14:paraId="0A8840CF">
        <w:tblPrEx>
          <w:tblCellMar>
            <w:top w:w="0" w:type="dxa"/>
            <w:left w:w="108" w:type="dxa"/>
            <w:bottom w:w="0" w:type="dxa"/>
            <w:right w:w="108" w:type="dxa"/>
          </w:tblCellMar>
        </w:tblPrEx>
        <w:trPr>
          <w:trHeight w:val="501" w:hRule="atLeast"/>
          <w:jc w:val="center"/>
        </w:trPr>
        <w:tc>
          <w:tcPr>
            <w:tcW w:w="709" w:type="dxa"/>
            <w:tcBorders>
              <w:top w:val="single" w:color="000000" w:sz="4" w:space="0"/>
              <w:left w:val="single" w:color="000000" w:sz="4" w:space="0"/>
              <w:bottom w:val="single" w:color="000000" w:sz="4" w:space="0"/>
              <w:right w:val="single" w:color="000000" w:sz="4" w:space="0"/>
            </w:tcBorders>
            <w:noWrap/>
            <w:vAlign w:val="center"/>
          </w:tcPr>
          <w:p w14:paraId="0BA16808">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w:t>
            </w:r>
          </w:p>
        </w:tc>
        <w:tc>
          <w:tcPr>
            <w:tcW w:w="2121" w:type="dxa"/>
            <w:tcBorders>
              <w:top w:val="single" w:color="auto" w:sz="4" w:space="0"/>
              <w:left w:val="single" w:color="auto" w:sz="8" w:space="0"/>
              <w:bottom w:val="single" w:color="auto" w:sz="4" w:space="0"/>
              <w:right w:val="single" w:color="auto" w:sz="4" w:space="0"/>
            </w:tcBorders>
            <w:shd w:val="clear" w:color="000000" w:fill="FFFFFF"/>
            <w:noWrap/>
            <w:vAlign w:val="center"/>
          </w:tcPr>
          <w:p w14:paraId="4A20B6A0">
            <w:pPr>
              <w:widowControl/>
              <w:jc w:val="center"/>
              <w:textAlignment w:val="center"/>
              <w:rPr>
                <w:rFonts w:hint="eastAsia" w:ascii="宋体" w:hAnsi="宋体" w:eastAsia="宋体" w:cs="宋体"/>
                <w:color w:val="000000"/>
                <w:szCs w:val="21"/>
              </w:rPr>
            </w:pPr>
            <w:r>
              <w:rPr>
                <w:rFonts w:hint="eastAsia"/>
                <w:color w:val="000000"/>
                <w:sz w:val="18"/>
                <w:szCs w:val="18"/>
              </w:rPr>
              <w:t>低糖黑芝麻月饼</w:t>
            </w:r>
          </w:p>
        </w:tc>
        <w:tc>
          <w:tcPr>
            <w:tcW w:w="857" w:type="dxa"/>
            <w:tcBorders>
              <w:top w:val="single" w:color="auto" w:sz="4" w:space="0"/>
              <w:left w:val="nil"/>
              <w:bottom w:val="single" w:color="auto" w:sz="4" w:space="0"/>
              <w:right w:val="single" w:color="auto" w:sz="4" w:space="0"/>
            </w:tcBorders>
            <w:shd w:val="clear" w:color="000000" w:fill="FFFFFF"/>
            <w:vAlign w:val="center"/>
          </w:tcPr>
          <w:p w14:paraId="640AE90C">
            <w:pPr>
              <w:widowControl/>
              <w:jc w:val="center"/>
              <w:textAlignment w:val="center"/>
              <w:rPr>
                <w:rFonts w:hint="eastAsia" w:ascii="宋体" w:hAnsi="宋体" w:eastAsia="宋体" w:cs="宋体"/>
                <w:color w:val="000000"/>
                <w:szCs w:val="21"/>
              </w:rPr>
            </w:pPr>
            <w:r>
              <w:rPr>
                <w:rFonts w:hint="eastAsia"/>
                <w:color w:val="000000"/>
                <w:sz w:val="18"/>
                <w:szCs w:val="18"/>
              </w:rPr>
              <w:t>60g/个</w:t>
            </w:r>
          </w:p>
        </w:tc>
        <w:tc>
          <w:tcPr>
            <w:tcW w:w="1115" w:type="dxa"/>
            <w:gridSpan w:val="2"/>
            <w:tcBorders>
              <w:top w:val="single" w:color="auto" w:sz="4" w:space="0"/>
              <w:left w:val="nil"/>
              <w:bottom w:val="single" w:color="auto" w:sz="4" w:space="0"/>
              <w:right w:val="single" w:color="auto" w:sz="4" w:space="0"/>
            </w:tcBorders>
            <w:shd w:val="clear" w:color="000000" w:fill="FFFFFF"/>
            <w:vAlign w:val="center"/>
          </w:tcPr>
          <w:p w14:paraId="119B51CC">
            <w:pPr>
              <w:widowControl/>
              <w:jc w:val="center"/>
              <w:textAlignment w:val="center"/>
              <w:rPr>
                <w:rFonts w:hint="eastAsia" w:ascii="宋体" w:hAnsi="宋体" w:eastAsia="宋体" w:cs="宋体"/>
                <w:color w:val="000000"/>
                <w:szCs w:val="21"/>
              </w:rPr>
            </w:pPr>
            <w:r>
              <w:rPr>
                <w:rFonts w:hint="eastAsia"/>
                <w:color w:val="000000"/>
                <w:sz w:val="18"/>
                <w:szCs w:val="18"/>
              </w:rPr>
              <w:t>8000</w:t>
            </w:r>
          </w:p>
        </w:tc>
        <w:tc>
          <w:tcPr>
            <w:tcW w:w="1430" w:type="dxa"/>
            <w:tcBorders>
              <w:top w:val="single" w:color="auto" w:sz="4" w:space="0"/>
              <w:left w:val="single" w:color="auto" w:sz="4" w:space="0"/>
              <w:bottom w:val="single" w:color="auto" w:sz="4" w:space="0"/>
              <w:right w:val="single" w:color="auto" w:sz="4" w:space="0"/>
            </w:tcBorders>
            <w:vAlign w:val="center"/>
          </w:tcPr>
          <w:p w14:paraId="0E9DA9D2">
            <w:pPr>
              <w:widowControl/>
              <w:jc w:val="center"/>
              <w:textAlignment w:val="center"/>
              <w:rPr>
                <w:rFonts w:hint="eastAsia" w:ascii="宋体" w:hAnsi="宋体" w:eastAsia="宋体" w:cs="宋体"/>
                <w:color w:val="000000"/>
                <w:szCs w:val="21"/>
              </w:rPr>
            </w:pPr>
            <w:r>
              <w:rPr>
                <w:rFonts w:hint="eastAsia"/>
                <w:color w:val="000000"/>
                <w:sz w:val="18"/>
                <w:szCs w:val="18"/>
              </w:rPr>
              <w:t>120</w:t>
            </w:r>
          </w:p>
        </w:tc>
        <w:tc>
          <w:tcPr>
            <w:tcW w:w="1276" w:type="dxa"/>
            <w:tcBorders>
              <w:top w:val="single" w:color="auto" w:sz="4" w:space="0"/>
              <w:left w:val="single" w:color="auto" w:sz="4" w:space="0"/>
              <w:bottom w:val="single" w:color="auto" w:sz="4" w:space="0"/>
              <w:right w:val="single" w:color="auto" w:sz="4" w:space="0"/>
            </w:tcBorders>
            <w:vAlign w:val="center"/>
          </w:tcPr>
          <w:p w14:paraId="5188A54B">
            <w:pPr>
              <w:jc w:val="center"/>
              <w:rPr>
                <w:rFonts w:hint="eastAsia" w:ascii="宋体" w:hAnsi="宋体" w:eastAsia="宋体" w:cs="宋体"/>
                <w:color w:val="000000"/>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023A1D72">
            <w:pPr>
              <w:jc w:val="center"/>
              <w:rPr>
                <w:rFonts w:hint="eastAsia" w:ascii="宋体" w:hAnsi="宋体" w:eastAsia="宋体" w:cs="宋体"/>
                <w:color w:val="000000"/>
                <w:szCs w:val="21"/>
              </w:rPr>
            </w:pPr>
          </w:p>
        </w:tc>
      </w:tr>
      <w:tr w14:paraId="299BA2B9">
        <w:tblPrEx>
          <w:tblCellMar>
            <w:top w:w="0" w:type="dxa"/>
            <w:left w:w="108" w:type="dxa"/>
            <w:bottom w:w="0" w:type="dxa"/>
            <w:right w:w="108" w:type="dxa"/>
          </w:tblCellMar>
        </w:tblPrEx>
        <w:trPr>
          <w:trHeight w:val="422" w:hRule="atLeast"/>
          <w:jc w:val="center"/>
        </w:trPr>
        <w:tc>
          <w:tcPr>
            <w:tcW w:w="709" w:type="dxa"/>
            <w:tcBorders>
              <w:top w:val="single" w:color="000000" w:sz="4" w:space="0"/>
              <w:left w:val="single" w:color="000000" w:sz="4" w:space="0"/>
              <w:bottom w:val="single" w:color="000000" w:sz="4" w:space="0"/>
              <w:right w:val="single" w:color="000000" w:sz="4" w:space="0"/>
            </w:tcBorders>
            <w:noWrap/>
            <w:vAlign w:val="center"/>
          </w:tcPr>
          <w:p w14:paraId="282B06FE">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3</w:t>
            </w:r>
          </w:p>
        </w:tc>
        <w:tc>
          <w:tcPr>
            <w:tcW w:w="2121" w:type="dxa"/>
            <w:tcBorders>
              <w:top w:val="nil"/>
              <w:left w:val="single" w:color="auto" w:sz="8" w:space="0"/>
              <w:bottom w:val="single" w:color="auto" w:sz="4" w:space="0"/>
              <w:right w:val="single" w:color="auto" w:sz="4" w:space="0"/>
            </w:tcBorders>
            <w:shd w:val="clear" w:color="000000" w:fill="FFFFFF"/>
            <w:vAlign w:val="center"/>
          </w:tcPr>
          <w:p w14:paraId="15B7F4D1">
            <w:pPr>
              <w:widowControl/>
              <w:jc w:val="center"/>
              <w:textAlignment w:val="center"/>
              <w:rPr>
                <w:rFonts w:hint="eastAsia" w:ascii="宋体" w:hAnsi="宋体" w:eastAsia="宋体" w:cs="宋体"/>
                <w:color w:val="000000"/>
                <w:szCs w:val="21"/>
              </w:rPr>
            </w:pPr>
            <w:r>
              <w:rPr>
                <w:rFonts w:hint="eastAsia"/>
                <w:color w:val="000000"/>
                <w:sz w:val="18"/>
                <w:szCs w:val="18"/>
              </w:rPr>
              <w:t>低糖奶黄流心月饼</w:t>
            </w:r>
          </w:p>
        </w:tc>
        <w:tc>
          <w:tcPr>
            <w:tcW w:w="857" w:type="dxa"/>
            <w:tcBorders>
              <w:top w:val="nil"/>
              <w:left w:val="nil"/>
              <w:bottom w:val="single" w:color="auto" w:sz="4" w:space="0"/>
              <w:right w:val="single" w:color="auto" w:sz="4" w:space="0"/>
            </w:tcBorders>
            <w:shd w:val="clear" w:color="000000" w:fill="FFFFFF"/>
            <w:vAlign w:val="center"/>
          </w:tcPr>
          <w:p w14:paraId="4D37A325">
            <w:pPr>
              <w:widowControl/>
              <w:jc w:val="center"/>
              <w:textAlignment w:val="center"/>
              <w:rPr>
                <w:rFonts w:hint="eastAsia" w:ascii="宋体" w:hAnsi="宋体" w:eastAsia="宋体" w:cs="宋体"/>
                <w:color w:val="000000"/>
                <w:szCs w:val="21"/>
              </w:rPr>
            </w:pPr>
            <w:r>
              <w:rPr>
                <w:rFonts w:hint="eastAsia"/>
                <w:color w:val="000000"/>
                <w:sz w:val="18"/>
                <w:szCs w:val="18"/>
              </w:rPr>
              <w:t>60g/个</w:t>
            </w:r>
          </w:p>
        </w:tc>
        <w:tc>
          <w:tcPr>
            <w:tcW w:w="1115" w:type="dxa"/>
            <w:gridSpan w:val="2"/>
            <w:tcBorders>
              <w:top w:val="nil"/>
              <w:left w:val="nil"/>
              <w:bottom w:val="single" w:color="auto" w:sz="4" w:space="0"/>
              <w:right w:val="single" w:color="auto" w:sz="4" w:space="0"/>
            </w:tcBorders>
            <w:shd w:val="clear" w:color="000000" w:fill="FFFFFF"/>
            <w:vAlign w:val="center"/>
          </w:tcPr>
          <w:p w14:paraId="6A7AA0E3">
            <w:pPr>
              <w:widowControl/>
              <w:jc w:val="center"/>
              <w:textAlignment w:val="center"/>
              <w:rPr>
                <w:rFonts w:hint="eastAsia" w:ascii="宋体" w:hAnsi="宋体" w:eastAsia="宋体" w:cs="宋体"/>
                <w:color w:val="000000"/>
                <w:szCs w:val="21"/>
              </w:rPr>
            </w:pPr>
            <w:r>
              <w:rPr>
                <w:rFonts w:hint="eastAsia"/>
                <w:color w:val="000000"/>
                <w:sz w:val="18"/>
                <w:szCs w:val="18"/>
              </w:rPr>
              <w:t xml:space="preserve">18500 </w:t>
            </w:r>
          </w:p>
        </w:tc>
        <w:tc>
          <w:tcPr>
            <w:tcW w:w="1430" w:type="dxa"/>
            <w:tcBorders>
              <w:top w:val="nil"/>
              <w:left w:val="single" w:color="auto" w:sz="4" w:space="0"/>
              <w:bottom w:val="single" w:color="auto" w:sz="4" w:space="0"/>
              <w:right w:val="single" w:color="auto" w:sz="4" w:space="0"/>
            </w:tcBorders>
            <w:vAlign w:val="center"/>
          </w:tcPr>
          <w:p w14:paraId="7D7B0FE9">
            <w:pPr>
              <w:widowControl/>
              <w:jc w:val="center"/>
              <w:textAlignment w:val="center"/>
              <w:rPr>
                <w:rFonts w:hint="eastAsia" w:ascii="宋体" w:hAnsi="宋体" w:eastAsia="宋体" w:cs="宋体"/>
                <w:color w:val="000000"/>
                <w:szCs w:val="21"/>
              </w:rPr>
            </w:pPr>
            <w:r>
              <w:rPr>
                <w:rFonts w:hint="eastAsia"/>
                <w:color w:val="000000"/>
                <w:sz w:val="18"/>
                <w:szCs w:val="18"/>
              </w:rPr>
              <w:t>300</w:t>
            </w:r>
          </w:p>
        </w:tc>
        <w:tc>
          <w:tcPr>
            <w:tcW w:w="1276" w:type="dxa"/>
            <w:tcBorders>
              <w:top w:val="single" w:color="auto" w:sz="4" w:space="0"/>
              <w:left w:val="single" w:color="auto" w:sz="4" w:space="0"/>
              <w:bottom w:val="single" w:color="auto" w:sz="4" w:space="0"/>
              <w:right w:val="single" w:color="auto" w:sz="4" w:space="0"/>
            </w:tcBorders>
            <w:vAlign w:val="center"/>
          </w:tcPr>
          <w:p w14:paraId="751E499D">
            <w:pPr>
              <w:jc w:val="center"/>
              <w:rPr>
                <w:rFonts w:hint="eastAsia" w:ascii="宋体" w:hAnsi="宋体" w:eastAsia="宋体" w:cs="宋体"/>
                <w:color w:val="000000"/>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25FB0280">
            <w:pPr>
              <w:jc w:val="center"/>
              <w:rPr>
                <w:rFonts w:hint="eastAsia" w:ascii="宋体" w:hAnsi="宋体" w:eastAsia="宋体" w:cs="宋体"/>
                <w:color w:val="000000"/>
                <w:szCs w:val="21"/>
              </w:rPr>
            </w:pPr>
          </w:p>
        </w:tc>
      </w:tr>
      <w:tr w14:paraId="75159674">
        <w:tblPrEx>
          <w:tblCellMar>
            <w:top w:w="0" w:type="dxa"/>
            <w:left w:w="108" w:type="dxa"/>
            <w:bottom w:w="0" w:type="dxa"/>
            <w:right w:w="108" w:type="dxa"/>
          </w:tblCellMar>
        </w:tblPrEx>
        <w:trPr>
          <w:trHeight w:val="472" w:hRule="atLeast"/>
          <w:jc w:val="center"/>
        </w:trPr>
        <w:tc>
          <w:tcPr>
            <w:tcW w:w="709" w:type="dxa"/>
            <w:tcBorders>
              <w:top w:val="single" w:color="000000" w:sz="4" w:space="0"/>
              <w:left w:val="single" w:color="000000" w:sz="4" w:space="0"/>
              <w:bottom w:val="single" w:color="000000" w:sz="4" w:space="0"/>
              <w:right w:val="single" w:color="000000" w:sz="4" w:space="0"/>
            </w:tcBorders>
            <w:noWrap/>
            <w:vAlign w:val="center"/>
          </w:tcPr>
          <w:p w14:paraId="52BE4BDA">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4</w:t>
            </w:r>
          </w:p>
        </w:tc>
        <w:tc>
          <w:tcPr>
            <w:tcW w:w="2121" w:type="dxa"/>
            <w:tcBorders>
              <w:top w:val="nil"/>
              <w:left w:val="single" w:color="auto" w:sz="8" w:space="0"/>
              <w:bottom w:val="single" w:color="auto" w:sz="4" w:space="0"/>
              <w:right w:val="single" w:color="auto" w:sz="4" w:space="0"/>
            </w:tcBorders>
            <w:shd w:val="clear" w:color="000000" w:fill="FFFFFF"/>
            <w:vAlign w:val="center"/>
          </w:tcPr>
          <w:p w14:paraId="6970D052">
            <w:pPr>
              <w:widowControl/>
              <w:jc w:val="center"/>
              <w:textAlignment w:val="center"/>
              <w:rPr>
                <w:rFonts w:hint="eastAsia" w:ascii="宋体" w:hAnsi="宋体" w:eastAsia="宋体" w:cs="宋体"/>
                <w:color w:val="000000"/>
                <w:szCs w:val="21"/>
              </w:rPr>
            </w:pPr>
            <w:r>
              <w:rPr>
                <w:rFonts w:hint="eastAsia"/>
                <w:color w:val="000000"/>
                <w:sz w:val="18"/>
                <w:szCs w:val="18"/>
              </w:rPr>
              <w:t>牛油果冰沙米皮月饼</w:t>
            </w:r>
          </w:p>
        </w:tc>
        <w:tc>
          <w:tcPr>
            <w:tcW w:w="857" w:type="dxa"/>
            <w:tcBorders>
              <w:top w:val="nil"/>
              <w:left w:val="nil"/>
              <w:bottom w:val="single" w:color="auto" w:sz="4" w:space="0"/>
              <w:right w:val="single" w:color="auto" w:sz="4" w:space="0"/>
            </w:tcBorders>
            <w:shd w:val="clear" w:color="000000" w:fill="FFFFFF"/>
            <w:vAlign w:val="center"/>
          </w:tcPr>
          <w:p w14:paraId="27F4C9BC">
            <w:pPr>
              <w:widowControl/>
              <w:jc w:val="center"/>
              <w:textAlignment w:val="center"/>
              <w:rPr>
                <w:rFonts w:hint="eastAsia" w:ascii="宋体" w:hAnsi="宋体" w:eastAsia="宋体" w:cs="宋体"/>
                <w:color w:val="000000"/>
                <w:szCs w:val="21"/>
              </w:rPr>
            </w:pPr>
            <w:r>
              <w:rPr>
                <w:rFonts w:hint="eastAsia"/>
                <w:color w:val="000000"/>
                <w:sz w:val="18"/>
                <w:szCs w:val="18"/>
              </w:rPr>
              <w:t>60g/个</w:t>
            </w:r>
          </w:p>
        </w:tc>
        <w:tc>
          <w:tcPr>
            <w:tcW w:w="1115" w:type="dxa"/>
            <w:gridSpan w:val="2"/>
            <w:tcBorders>
              <w:top w:val="nil"/>
              <w:left w:val="nil"/>
              <w:bottom w:val="single" w:color="auto" w:sz="4" w:space="0"/>
              <w:right w:val="single" w:color="auto" w:sz="4" w:space="0"/>
            </w:tcBorders>
            <w:shd w:val="clear" w:color="000000" w:fill="FFFFFF"/>
            <w:vAlign w:val="center"/>
          </w:tcPr>
          <w:p w14:paraId="74EBF302">
            <w:pPr>
              <w:widowControl/>
              <w:jc w:val="center"/>
              <w:textAlignment w:val="center"/>
              <w:rPr>
                <w:rFonts w:hint="eastAsia" w:ascii="宋体" w:hAnsi="宋体" w:eastAsia="宋体" w:cs="宋体"/>
                <w:color w:val="000000"/>
                <w:szCs w:val="21"/>
              </w:rPr>
            </w:pPr>
            <w:r>
              <w:rPr>
                <w:rFonts w:hint="eastAsia"/>
                <w:color w:val="000000"/>
                <w:sz w:val="18"/>
                <w:szCs w:val="18"/>
              </w:rPr>
              <w:t xml:space="preserve">22000 </w:t>
            </w:r>
          </w:p>
        </w:tc>
        <w:tc>
          <w:tcPr>
            <w:tcW w:w="1430" w:type="dxa"/>
            <w:tcBorders>
              <w:top w:val="nil"/>
              <w:left w:val="single" w:color="auto" w:sz="4" w:space="0"/>
              <w:bottom w:val="single" w:color="auto" w:sz="4" w:space="0"/>
              <w:right w:val="single" w:color="auto" w:sz="4" w:space="0"/>
            </w:tcBorders>
            <w:vAlign w:val="center"/>
          </w:tcPr>
          <w:p w14:paraId="1AD67908">
            <w:pPr>
              <w:widowControl/>
              <w:jc w:val="center"/>
              <w:textAlignment w:val="center"/>
              <w:rPr>
                <w:rFonts w:hint="eastAsia" w:ascii="宋体" w:hAnsi="宋体" w:eastAsia="宋体" w:cs="宋体"/>
                <w:color w:val="000000"/>
                <w:szCs w:val="21"/>
              </w:rPr>
            </w:pPr>
            <w:r>
              <w:rPr>
                <w:rFonts w:hint="eastAsia"/>
                <w:color w:val="000000"/>
                <w:sz w:val="18"/>
                <w:szCs w:val="18"/>
              </w:rPr>
              <w:t>700</w:t>
            </w:r>
          </w:p>
        </w:tc>
        <w:tc>
          <w:tcPr>
            <w:tcW w:w="1276" w:type="dxa"/>
            <w:tcBorders>
              <w:top w:val="single" w:color="auto" w:sz="4" w:space="0"/>
              <w:left w:val="single" w:color="auto" w:sz="4" w:space="0"/>
              <w:bottom w:val="single" w:color="auto" w:sz="4" w:space="0"/>
              <w:right w:val="single" w:color="auto" w:sz="4" w:space="0"/>
            </w:tcBorders>
            <w:vAlign w:val="center"/>
          </w:tcPr>
          <w:p w14:paraId="30EDF190">
            <w:pPr>
              <w:jc w:val="center"/>
              <w:rPr>
                <w:rFonts w:hint="eastAsia" w:ascii="宋体" w:hAnsi="宋体" w:eastAsia="宋体" w:cs="宋体"/>
                <w:color w:val="000000"/>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3358E9FE">
            <w:pPr>
              <w:jc w:val="center"/>
              <w:rPr>
                <w:rFonts w:hint="eastAsia" w:ascii="宋体" w:hAnsi="宋体" w:eastAsia="宋体" w:cs="宋体"/>
                <w:color w:val="000000"/>
                <w:szCs w:val="21"/>
              </w:rPr>
            </w:pPr>
          </w:p>
        </w:tc>
      </w:tr>
      <w:tr w14:paraId="590215B8">
        <w:tblPrEx>
          <w:tblCellMar>
            <w:top w:w="0" w:type="dxa"/>
            <w:left w:w="108" w:type="dxa"/>
            <w:bottom w:w="0" w:type="dxa"/>
            <w:right w:w="108" w:type="dxa"/>
          </w:tblCellMar>
        </w:tblPrEx>
        <w:trPr>
          <w:trHeight w:val="408" w:hRule="atLeast"/>
          <w:jc w:val="center"/>
        </w:trPr>
        <w:tc>
          <w:tcPr>
            <w:tcW w:w="709" w:type="dxa"/>
            <w:tcBorders>
              <w:top w:val="single" w:color="000000" w:sz="4" w:space="0"/>
              <w:left w:val="single" w:color="000000" w:sz="4" w:space="0"/>
              <w:bottom w:val="single" w:color="000000" w:sz="4" w:space="0"/>
              <w:right w:val="single" w:color="000000" w:sz="4" w:space="0"/>
            </w:tcBorders>
            <w:noWrap/>
            <w:vAlign w:val="center"/>
          </w:tcPr>
          <w:p w14:paraId="5839D088">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5</w:t>
            </w:r>
          </w:p>
        </w:tc>
        <w:tc>
          <w:tcPr>
            <w:tcW w:w="2121" w:type="dxa"/>
            <w:tcBorders>
              <w:top w:val="nil"/>
              <w:left w:val="single" w:color="auto" w:sz="8" w:space="0"/>
              <w:bottom w:val="single" w:color="auto" w:sz="4" w:space="0"/>
              <w:right w:val="single" w:color="auto" w:sz="4" w:space="0"/>
            </w:tcBorders>
            <w:shd w:val="clear" w:color="000000" w:fill="FFFFFF"/>
            <w:vAlign w:val="center"/>
          </w:tcPr>
          <w:p w14:paraId="3D01DCEE">
            <w:pPr>
              <w:widowControl/>
              <w:jc w:val="center"/>
              <w:textAlignment w:val="center"/>
              <w:rPr>
                <w:rFonts w:hint="eastAsia" w:ascii="宋体" w:hAnsi="宋体" w:eastAsia="宋体" w:cs="宋体"/>
                <w:color w:val="000000"/>
                <w:kern w:val="0"/>
                <w:szCs w:val="21"/>
                <w:lang w:bidi="ar"/>
              </w:rPr>
            </w:pPr>
            <w:r>
              <w:rPr>
                <w:rFonts w:hint="eastAsia"/>
                <w:color w:val="000000"/>
                <w:sz w:val="18"/>
                <w:szCs w:val="18"/>
              </w:rPr>
              <w:t>山药米皮月饼</w:t>
            </w:r>
          </w:p>
        </w:tc>
        <w:tc>
          <w:tcPr>
            <w:tcW w:w="857" w:type="dxa"/>
            <w:tcBorders>
              <w:top w:val="nil"/>
              <w:left w:val="nil"/>
              <w:bottom w:val="single" w:color="auto" w:sz="4" w:space="0"/>
              <w:right w:val="single" w:color="auto" w:sz="4" w:space="0"/>
            </w:tcBorders>
            <w:shd w:val="clear" w:color="000000" w:fill="FFFFFF"/>
            <w:vAlign w:val="center"/>
          </w:tcPr>
          <w:p w14:paraId="0B85630B">
            <w:pPr>
              <w:widowControl/>
              <w:jc w:val="center"/>
              <w:textAlignment w:val="center"/>
              <w:rPr>
                <w:rFonts w:hint="eastAsia" w:ascii="宋体" w:hAnsi="宋体" w:eastAsia="宋体" w:cs="宋体"/>
                <w:color w:val="000000"/>
                <w:kern w:val="0"/>
                <w:szCs w:val="21"/>
                <w:lang w:bidi="ar"/>
              </w:rPr>
            </w:pPr>
            <w:r>
              <w:rPr>
                <w:rFonts w:hint="eastAsia"/>
                <w:color w:val="000000"/>
                <w:sz w:val="18"/>
                <w:szCs w:val="18"/>
              </w:rPr>
              <w:t>60g/个</w:t>
            </w:r>
          </w:p>
        </w:tc>
        <w:tc>
          <w:tcPr>
            <w:tcW w:w="1115" w:type="dxa"/>
            <w:gridSpan w:val="2"/>
            <w:tcBorders>
              <w:top w:val="nil"/>
              <w:left w:val="nil"/>
              <w:bottom w:val="single" w:color="auto" w:sz="4" w:space="0"/>
              <w:right w:val="single" w:color="auto" w:sz="4" w:space="0"/>
            </w:tcBorders>
            <w:shd w:val="clear" w:color="000000" w:fill="FFFFFF"/>
            <w:vAlign w:val="center"/>
          </w:tcPr>
          <w:p w14:paraId="1735428A">
            <w:pPr>
              <w:widowControl/>
              <w:jc w:val="center"/>
              <w:textAlignment w:val="center"/>
              <w:rPr>
                <w:rFonts w:hint="eastAsia" w:ascii="宋体" w:hAnsi="宋体" w:eastAsia="宋体" w:cs="宋体"/>
                <w:color w:val="000000"/>
                <w:kern w:val="0"/>
                <w:szCs w:val="21"/>
                <w:lang w:bidi="ar"/>
              </w:rPr>
            </w:pPr>
            <w:r>
              <w:rPr>
                <w:rFonts w:hint="eastAsia"/>
                <w:color w:val="000000"/>
                <w:sz w:val="18"/>
                <w:szCs w:val="18"/>
              </w:rPr>
              <w:t>8000</w:t>
            </w:r>
          </w:p>
        </w:tc>
        <w:tc>
          <w:tcPr>
            <w:tcW w:w="1430" w:type="dxa"/>
            <w:tcBorders>
              <w:top w:val="nil"/>
              <w:left w:val="single" w:color="auto" w:sz="4" w:space="0"/>
              <w:bottom w:val="single" w:color="auto" w:sz="4" w:space="0"/>
              <w:right w:val="single" w:color="auto" w:sz="4" w:space="0"/>
            </w:tcBorders>
            <w:vAlign w:val="center"/>
          </w:tcPr>
          <w:p w14:paraId="71465BAE">
            <w:pPr>
              <w:widowControl/>
              <w:jc w:val="center"/>
              <w:textAlignment w:val="center"/>
              <w:rPr>
                <w:rFonts w:hint="eastAsia" w:ascii="宋体" w:hAnsi="宋体" w:eastAsia="宋体" w:cs="宋体"/>
                <w:color w:val="000000"/>
                <w:szCs w:val="21"/>
              </w:rPr>
            </w:pPr>
            <w:r>
              <w:rPr>
                <w:rFonts w:hint="eastAsia"/>
                <w:color w:val="000000"/>
                <w:sz w:val="18"/>
                <w:szCs w:val="18"/>
              </w:rPr>
              <w:t>120</w:t>
            </w:r>
          </w:p>
        </w:tc>
        <w:tc>
          <w:tcPr>
            <w:tcW w:w="1276" w:type="dxa"/>
            <w:tcBorders>
              <w:top w:val="single" w:color="auto" w:sz="4" w:space="0"/>
              <w:left w:val="single" w:color="auto" w:sz="4" w:space="0"/>
              <w:bottom w:val="single" w:color="auto" w:sz="4" w:space="0"/>
              <w:right w:val="single" w:color="auto" w:sz="4" w:space="0"/>
            </w:tcBorders>
            <w:vAlign w:val="center"/>
          </w:tcPr>
          <w:p w14:paraId="33382137">
            <w:pPr>
              <w:jc w:val="center"/>
              <w:rPr>
                <w:rFonts w:hint="eastAsia" w:ascii="宋体" w:hAnsi="宋体" w:eastAsia="宋体" w:cs="宋体"/>
                <w:color w:val="000000"/>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0B5F1054">
            <w:pPr>
              <w:jc w:val="center"/>
              <w:rPr>
                <w:rFonts w:hint="eastAsia" w:ascii="宋体" w:hAnsi="宋体" w:eastAsia="宋体" w:cs="宋体"/>
                <w:color w:val="000000"/>
                <w:szCs w:val="21"/>
              </w:rPr>
            </w:pPr>
          </w:p>
        </w:tc>
      </w:tr>
      <w:tr w14:paraId="0CEA42B2">
        <w:tblPrEx>
          <w:tblCellMar>
            <w:top w:w="0" w:type="dxa"/>
            <w:left w:w="108" w:type="dxa"/>
            <w:bottom w:w="0" w:type="dxa"/>
            <w:right w:w="108" w:type="dxa"/>
          </w:tblCellMar>
        </w:tblPrEx>
        <w:trPr>
          <w:trHeight w:val="473" w:hRule="atLeast"/>
          <w:jc w:val="center"/>
        </w:trPr>
        <w:tc>
          <w:tcPr>
            <w:tcW w:w="709" w:type="dxa"/>
            <w:tcBorders>
              <w:top w:val="single" w:color="000000" w:sz="4" w:space="0"/>
              <w:left w:val="single" w:color="000000" w:sz="4" w:space="0"/>
              <w:bottom w:val="single" w:color="000000" w:sz="4" w:space="0"/>
              <w:right w:val="single" w:color="000000" w:sz="4" w:space="0"/>
            </w:tcBorders>
            <w:noWrap/>
            <w:vAlign w:val="center"/>
          </w:tcPr>
          <w:p w14:paraId="40081E51">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6</w:t>
            </w:r>
          </w:p>
        </w:tc>
        <w:tc>
          <w:tcPr>
            <w:tcW w:w="2121" w:type="dxa"/>
            <w:tcBorders>
              <w:top w:val="nil"/>
              <w:left w:val="single" w:color="auto" w:sz="8" w:space="0"/>
              <w:bottom w:val="single" w:color="auto" w:sz="4" w:space="0"/>
              <w:right w:val="single" w:color="auto" w:sz="4" w:space="0"/>
            </w:tcBorders>
            <w:shd w:val="clear" w:color="000000" w:fill="FFFFFF"/>
            <w:vAlign w:val="center"/>
          </w:tcPr>
          <w:p w14:paraId="127FE78A">
            <w:pPr>
              <w:widowControl/>
              <w:jc w:val="center"/>
              <w:textAlignment w:val="center"/>
              <w:rPr>
                <w:rFonts w:hint="eastAsia" w:ascii="宋体" w:hAnsi="宋体" w:eastAsia="宋体" w:cs="宋体"/>
                <w:color w:val="000000"/>
                <w:kern w:val="0"/>
                <w:szCs w:val="21"/>
                <w:lang w:bidi="ar"/>
              </w:rPr>
            </w:pPr>
            <w:r>
              <w:rPr>
                <w:rFonts w:hint="eastAsia"/>
                <w:color w:val="000000"/>
                <w:sz w:val="18"/>
                <w:szCs w:val="18"/>
              </w:rPr>
              <w:t>芒果冰沙米皮月饼</w:t>
            </w:r>
          </w:p>
        </w:tc>
        <w:tc>
          <w:tcPr>
            <w:tcW w:w="857" w:type="dxa"/>
            <w:tcBorders>
              <w:top w:val="nil"/>
              <w:left w:val="nil"/>
              <w:bottom w:val="single" w:color="auto" w:sz="4" w:space="0"/>
              <w:right w:val="single" w:color="auto" w:sz="4" w:space="0"/>
            </w:tcBorders>
            <w:shd w:val="clear" w:color="000000" w:fill="FFFFFF"/>
            <w:vAlign w:val="center"/>
          </w:tcPr>
          <w:p w14:paraId="4FE25201">
            <w:pPr>
              <w:widowControl/>
              <w:jc w:val="center"/>
              <w:textAlignment w:val="center"/>
              <w:rPr>
                <w:rFonts w:hint="eastAsia" w:ascii="宋体" w:hAnsi="宋体" w:eastAsia="宋体" w:cs="宋体"/>
                <w:color w:val="000000"/>
                <w:kern w:val="0"/>
                <w:szCs w:val="21"/>
                <w:lang w:bidi="ar"/>
              </w:rPr>
            </w:pPr>
            <w:r>
              <w:rPr>
                <w:rFonts w:hint="eastAsia"/>
                <w:color w:val="000000"/>
                <w:sz w:val="18"/>
                <w:szCs w:val="18"/>
              </w:rPr>
              <w:t>60g/个</w:t>
            </w:r>
          </w:p>
        </w:tc>
        <w:tc>
          <w:tcPr>
            <w:tcW w:w="1115" w:type="dxa"/>
            <w:gridSpan w:val="2"/>
            <w:tcBorders>
              <w:top w:val="nil"/>
              <w:left w:val="nil"/>
              <w:bottom w:val="single" w:color="auto" w:sz="4" w:space="0"/>
              <w:right w:val="single" w:color="auto" w:sz="4" w:space="0"/>
            </w:tcBorders>
            <w:shd w:val="clear" w:color="000000" w:fill="FFFFFF"/>
            <w:vAlign w:val="center"/>
          </w:tcPr>
          <w:p w14:paraId="3870C508">
            <w:pPr>
              <w:widowControl/>
              <w:jc w:val="center"/>
              <w:textAlignment w:val="center"/>
              <w:rPr>
                <w:rFonts w:hint="eastAsia" w:ascii="宋体" w:hAnsi="宋体" w:eastAsia="宋体" w:cs="宋体"/>
                <w:color w:val="000000"/>
                <w:kern w:val="0"/>
                <w:szCs w:val="21"/>
                <w:lang w:bidi="ar"/>
              </w:rPr>
            </w:pPr>
            <w:r>
              <w:rPr>
                <w:rFonts w:hint="eastAsia"/>
                <w:color w:val="000000"/>
                <w:sz w:val="18"/>
                <w:szCs w:val="18"/>
              </w:rPr>
              <w:t>8000</w:t>
            </w:r>
          </w:p>
        </w:tc>
        <w:tc>
          <w:tcPr>
            <w:tcW w:w="1430" w:type="dxa"/>
            <w:tcBorders>
              <w:top w:val="nil"/>
              <w:left w:val="single" w:color="auto" w:sz="4" w:space="0"/>
              <w:bottom w:val="single" w:color="auto" w:sz="4" w:space="0"/>
              <w:right w:val="single" w:color="auto" w:sz="4" w:space="0"/>
            </w:tcBorders>
            <w:vAlign w:val="center"/>
          </w:tcPr>
          <w:p w14:paraId="5943A77C">
            <w:pPr>
              <w:widowControl/>
              <w:jc w:val="center"/>
              <w:textAlignment w:val="center"/>
              <w:rPr>
                <w:rFonts w:hint="eastAsia" w:ascii="宋体" w:hAnsi="宋体" w:eastAsia="宋体" w:cs="宋体"/>
                <w:color w:val="000000"/>
                <w:szCs w:val="21"/>
              </w:rPr>
            </w:pPr>
            <w:r>
              <w:rPr>
                <w:rFonts w:hint="eastAsia"/>
                <w:color w:val="000000"/>
                <w:sz w:val="18"/>
                <w:szCs w:val="18"/>
              </w:rPr>
              <w:t>120</w:t>
            </w:r>
          </w:p>
        </w:tc>
        <w:tc>
          <w:tcPr>
            <w:tcW w:w="1276" w:type="dxa"/>
            <w:tcBorders>
              <w:top w:val="single" w:color="auto" w:sz="4" w:space="0"/>
              <w:left w:val="single" w:color="auto" w:sz="4" w:space="0"/>
              <w:bottom w:val="single" w:color="auto" w:sz="4" w:space="0"/>
              <w:right w:val="single" w:color="auto" w:sz="4" w:space="0"/>
            </w:tcBorders>
            <w:vAlign w:val="center"/>
          </w:tcPr>
          <w:p w14:paraId="137D2940">
            <w:pPr>
              <w:jc w:val="center"/>
              <w:rPr>
                <w:rFonts w:hint="eastAsia" w:ascii="宋体" w:hAnsi="宋体" w:eastAsia="宋体" w:cs="宋体"/>
                <w:color w:val="000000"/>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43A430A0">
            <w:pPr>
              <w:jc w:val="center"/>
              <w:rPr>
                <w:rFonts w:hint="eastAsia" w:ascii="宋体" w:hAnsi="宋体" w:eastAsia="宋体" w:cs="宋体"/>
                <w:color w:val="000000"/>
                <w:szCs w:val="21"/>
              </w:rPr>
            </w:pPr>
          </w:p>
        </w:tc>
      </w:tr>
      <w:tr w14:paraId="290A085A">
        <w:tblPrEx>
          <w:tblCellMar>
            <w:top w:w="0" w:type="dxa"/>
            <w:left w:w="108" w:type="dxa"/>
            <w:bottom w:w="0" w:type="dxa"/>
            <w:right w:w="108" w:type="dxa"/>
          </w:tblCellMar>
        </w:tblPrEx>
        <w:trPr>
          <w:trHeight w:val="537" w:hRule="atLeast"/>
          <w:jc w:val="center"/>
        </w:trPr>
        <w:tc>
          <w:tcPr>
            <w:tcW w:w="709" w:type="dxa"/>
            <w:tcBorders>
              <w:top w:val="single" w:color="000000" w:sz="4" w:space="0"/>
              <w:left w:val="single" w:color="000000" w:sz="4" w:space="0"/>
              <w:bottom w:val="single" w:color="000000" w:sz="4" w:space="0"/>
              <w:right w:val="single" w:color="000000" w:sz="4" w:space="0"/>
            </w:tcBorders>
            <w:noWrap/>
            <w:vAlign w:val="center"/>
          </w:tcPr>
          <w:p w14:paraId="120D4E9B">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7</w:t>
            </w:r>
          </w:p>
        </w:tc>
        <w:tc>
          <w:tcPr>
            <w:tcW w:w="2121" w:type="dxa"/>
            <w:tcBorders>
              <w:top w:val="nil"/>
              <w:left w:val="single" w:color="auto" w:sz="8" w:space="0"/>
              <w:bottom w:val="single" w:color="auto" w:sz="4" w:space="0"/>
              <w:right w:val="single" w:color="auto" w:sz="4" w:space="0"/>
            </w:tcBorders>
            <w:shd w:val="clear" w:color="000000" w:fill="FFFFFF"/>
            <w:vAlign w:val="center"/>
          </w:tcPr>
          <w:p w14:paraId="238D3CAB">
            <w:pPr>
              <w:widowControl/>
              <w:jc w:val="center"/>
              <w:textAlignment w:val="center"/>
              <w:rPr>
                <w:rFonts w:hint="eastAsia" w:ascii="宋体" w:hAnsi="宋体" w:eastAsia="宋体" w:cs="宋体"/>
                <w:color w:val="000000"/>
                <w:kern w:val="0"/>
                <w:szCs w:val="21"/>
                <w:lang w:bidi="ar"/>
              </w:rPr>
            </w:pPr>
            <w:r>
              <w:rPr>
                <w:rFonts w:hint="eastAsia"/>
                <w:color w:val="000000"/>
                <w:sz w:val="18"/>
                <w:szCs w:val="18"/>
              </w:rPr>
              <w:t>玫瑰红豆沙月饼</w:t>
            </w:r>
          </w:p>
        </w:tc>
        <w:tc>
          <w:tcPr>
            <w:tcW w:w="857" w:type="dxa"/>
            <w:tcBorders>
              <w:top w:val="nil"/>
              <w:left w:val="nil"/>
              <w:bottom w:val="single" w:color="auto" w:sz="4" w:space="0"/>
              <w:right w:val="single" w:color="auto" w:sz="4" w:space="0"/>
            </w:tcBorders>
            <w:shd w:val="clear" w:color="000000" w:fill="FFFFFF"/>
            <w:vAlign w:val="center"/>
          </w:tcPr>
          <w:p w14:paraId="7C5D33F9">
            <w:pPr>
              <w:widowControl/>
              <w:jc w:val="center"/>
              <w:textAlignment w:val="center"/>
              <w:rPr>
                <w:rFonts w:hint="eastAsia" w:ascii="宋体" w:hAnsi="宋体" w:eastAsia="宋体" w:cs="宋体"/>
                <w:color w:val="000000"/>
                <w:kern w:val="0"/>
                <w:szCs w:val="21"/>
                <w:lang w:bidi="ar"/>
              </w:rPr>
            </w:pPr>
            <w:r>
              <w:rPr>
                <w:rFonts w:hint="eastAsia"/>
                <w:color w:val="000000"/>
                <w:sz w:val="18"/>
                <w:szCs w:val="18"/>
              </w:rPr>
              <w:t>60g/个</w:t>
            </w:r>
          </w:p>
        </w:tc>
        <w:tc>
          <w:tcPr>
            <w:tcW w:w="1115" w:type="dxa"/>
            <w:gridSpan w:val="2"/>
            <w:tcBorders>
              <w:top w:val="nil"/>
              <w:left w:val="nil"/>
              <w:bottom w:val="single" w:color="auto" w:sz="4" w:space="0"/>
              <w:right w:val="single" w:color="auto" w:sz="4" w:space="0"/>
            </w:tcBorders>
            <w:shd w:val="clear" w:color="000000" w:fill="FFFFFF"/>
            <w:vAlign w:val="center"/>
          </w:tcPr>
          <w:p w14:paraId="1E9FDF14">
            <w:pPr>
              <w:widowControl/>
              <w:jc w:val="center"/>
              <w:textAlignment w:val="center"/>
              <w:rPr>
                <w:rFonts w:hint="eastAsia" w:ascii="宋体" w:hAnsi="宋体" w:eastAsia="宋体" w:cs="宋体"/>
                <w:color w:val="000000"/>
                <w:kern w:val="0"/>
                <w:szCs w:val="21"/>
                <w:lang w:bidi="ar"/>
              </w:rPr>
            </w:pPr>
            <w:r>
              <w:rPr>
                <w:rFonts w:hint="eastAsia"/>
                <w:color w:val="000000"/>
                <w:sz w:val="18"/>
                <w:szCs w:val="18"/>
              </w:rPr>
              <w:t>8000</w:t>
            </w:r>
          </w:p>
        </w:tc>
        <w:tc>
          <w:tcPr>
            <w:tcW w:w="1430" w:type="dxa"/>
            <w:tcBorders>
              <w:top w:val="nil"/>
              <w:left w:val="single" w:color="auto" w:sz="4" w:space="0"/>
              <w:bottom w:val="single" w:color="auto" w:sz="4" w:space="0"/>
              <w:right w:val="single" w:color="auto" w:sz="4" w:space="0"/>
            </w:tcBorders>
            <w:vAlign w:val="center"/>
          </w:tcPr>
          <w:p w14:paraId="763DD369">
            <w:pPr>
              <w:widowControl/>
              <w:jc w:val="center"/>
              <w:textAlignment w:val="center"/>
              <w:rPr>
                <w:rFonts w:hint="eastAsia" w:ascii="宋体" w:hAnsi="宋体" w:eastAsia="宋体" w:cs="宋体"/>
                <w:color w:val="000000"/>
                <w:szCs w:val="21"/>
              </w:rPr>
            </w:pPr>
            <w:r>
              <w:rPr>
                <w:rFonts w:hint="eastAsia"/>
                <w:color w:val="000000"/>
                <w:sz w:val="18"/>
                <w:szCs w:val="18"/>
              </w:rPr>
              <w:t>120</w:t>
            </w:r>
          </w:p>
        </w:tc>
        <w:tc>
          <w:tcPr>
            <w:tcW w:w="1276" w:type="dxa"/>
            <w:tcBorders>
              <w:top w:val="single" w:color="auto" w:sz="4" w:space="0"/>
              <w:left w:val="single" w:color="auto" w:sz="4" w:space="0"/>
              <w:bottom w:val="single" w:color="auto" w:sz="4" w:space="0"/>
              <w:right w:val="single" w:color="auto" w:sz="4" w:space="0"/>
            </w:tcBorders>
            <w:vAlign w:val="center"/>
          </w:tcPr>
          <w:p w14:paraId="3CE4587C">
            <w:pPr>
              <w:jc w:val="center"/>
              <w:rPr>
                <w:rFonts w:hint="eastAsia" w:ascii="宋体" w:hAnsi="宋体" w:eastAsia="宋体" w:cs="宋体"/>
                <w:color w:val="000000"/>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1F2351E9">
            <w:pPr>
              <w:jc w:val="center"/>
              <w:rPr>
                <w:rFonts w:hint="eastAsia" w:ascii="宋体" w:hAnsi="宋体" w:eastAsia="宋体" w:cs="宋体"/>
                <w:color w:val="000000"/>
                <w:szCs w:val="21"/>
              </w:rPr>
            </w:pPr>
          </w:p>
        </w:tc>
      </w:tr>
      <w:tr w14:paraId="537A1A98">
        <w:tblPrEx>
          <w:tblCellMar>
            <w:top w:w="0" w:type="dxa"/>
            <w:left w:w="108" w:type="dxa"/>
            <w:bottom w:w="0" w:type="dxa"/>
            <w:right w:w="108" w:type="dxa"/>
          </w:tblCellMar>
        </w:tblPrEx>
        <w:trPr>
          <w:trHeight w:val="417" w:hRule="atLeast"/>
          <w:jc w:val="center"/>
        </w:trPr>
        <w:tc>
          <w:tcPr>
            <w:tcW w:w="709" w:type="dxa"/>
            <w:tcBorders>
              <w:top w:val="single" w:color="000000" w:sz="4" w:space="0"/>
              <w:left w:val="single" w:color="000000" w:sz="4" w:space="0"/>
              <w:bottom w:val="single" w:color="000000" w:sz="4" w:space="0"/>
              <w:right w:val="single" w:color="000000" w:sz="4" w:space="0"/>
            </w:tcBorders>
            <w:noWrap/>
            <w:vAlign w:val="center"/>
          </w:tcPr>
          <w:p w14:paraId="00EF1AB9">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8</w:t>
            </w:r>
          </w:p>
        </w:tc>
        <w:tc>
          <w:tcPr>
            <w:tcW w:w="2121" w:type="dxa"/>
            <w:tcBorders>
              <w:top w:val="nil"/>
              <w:left w:val="single" w:color="auto" w:sz="8" w:space="0"/>
              <w:bottom w:val="single" w:color="auto" w:sz="4" w:space="0"/>
              <w:right w:val="single" w:color="auto" w:sz="4" w:space="0"/>
            </w:tcBorders>
            <w:shd w:val="clear" w:color="000000" w:fill="FFFFFF"/>
            <w:vAlign w:val="center"/>
          </w:tcPr>
          <w:p w14:paraId="6FE0DD42">
            <w:pPr>
              <w:widowControl/>
              <w:jc w:val="center"/>
              <w:textAlignment w:val="center"/>
              <w:rPr>
                <w:rFonts w:hint="eastAsia" w:ascii="宋体" w:hAnsi="宋体" w:eastAsia="宋体" w:cs="宋体"/>
                <w:color w:val="000000"/>
                <w:kern w:val="0"/>
                <w:szCs w:val="21"/>
                <w:lang w:bidi="ar"/>
              </w:rPr>
            </w:pPr>
            <w:r>
              <w:rPr>
                <w:rFonts w:hint="eastAsia"/>
                <w:color w:val="000000"/>
                <w:sz w:val="18"/>
                <w:szCs w:val="18"/>
              </w:rPr>
              <w:t>珍珠红豆沙月饼</w:t>
            </w:r>
          </w:p>
        </w:tc>
        <w:tc>
          <w:tcPr>
            <w:tcW w:w="857" w:type="dxa"/>
            <w:tcBorders>
              <w:top w:val="nil"/>
              <w:left w:val="nil"/>
              <w:bottom w:val="single" w:color="auto" w:sz="4" w:space="0"/>
              <w:right w:val="single" w:color="auto" w:sz="4" w:space="0"/>
            </w:tcBorders>
            <w:shd w:val="clear" w:color="000000" w:fill="FFFFFF"/>
            <w:vAlign w:val="center"/>
          </w:tcPr>
          <w:p w14:paraId="209513B5">
            <w:pPr>
              <w:widowControl/>
              <w:jc w:val="center"/>
              <w:textAlignment w:val="center"/>
              <w:rPr>
                <w:rFonts w:hint="eastAsia" w:ascii="宋体" w:hAnsi="宋体" w:eastAsia="宋体" w:cs="宋体"/>
                <w:color w:val="000000"/>
                <w:kern w:val="0"/>
                <w:szCs w:val="21"/>
                <w:lang w:bidi="ar"/>
              </w:rPr>
            </w:pPr>
            <w:r>
              <w:rPr>
                <w:rFonts w:hint="eastAsia"/>
                <w:color w:val="000000"/>
                <w:sz w:val="18"/>
                <w:szCs w:val="18"/>
              </w:rPr>
              <w:t>60g/个</w:t>
            </w:r>
          </w:p>
        </w:tc>
        <w:tc>
          <w:tcPr>
            <w:tcW w:w="1115" w:type="dxa"/>
            <w:gridSpan w:val="2"/>
            <w:tcBorders>
              <w:top w:val="nil"/>
              <w:left w:val="nil"/>
              <w:bottom w:val="single" w:color="auto" w:sz="4" w:space="0"/>
              <w:right w:val="single" w:color="auto" w:sz="4" w:space="0"/>
            </w:tcBorders>
            <w:shd w:val="clear" w:color="000000" w:fill="FFFFFF"/>
            <w:vAlign w:val="center"/>
          </w:tcPr>
          <w:p w14:paraId="1221C6F8">
            <w:pPr>
              <w:widowControl/>
              <w:jc w:val="center"/>
              <w:textAlignment w:val="center"/>
              <w:rPr>
                <w:rFonts w:hint="eastAsia" w:ascii="宋体" w:hAnsi="宋体" w:eastAsia="宋体" w:cs="宋体"/>
                <w:color w:val="000000"/>
                <w:kern w:val="0"/>
                <w:szCs w:val="21"/>
                <w:lang w:bidi="ar"/>
              </w:rPr>
            </w:pPr>
            <w:r>
              <w:rPr>
                <w:rFonts w:hint="eastAsia"/>
                <w:color w:val="000000"/>
                <w:sz w:val="18"/>
                <w:szCs w:val="18"/>
              </w:rPr>
              <w:t>14000</w:t>
            </w:r>
          </w:p>
        </w:tc>
        <w:tc>
          <w:tcPr>
            <w:tcW w:w="1430" w:type="dxa"/>
            <w:tcBorders>
              <w:top w:val="nil"/>
              <w:left w:val="single" w:color="auto" w:sz="4" w:space="0"/>
              <w:bottom w:val="single" w:color="auto" w:sz="4" w:space="0"/>
              <w:right w:val="single" w:color="auto" w:sz="4" w:space="0"/>
            </w:tcBorders>
            <w:vAlign w:val="center"/>
          </w:tcPr>
          <w:p w14:paraId="34DAE51F">
            <w:pPr>
              <w:widowControl/>
              <w:jc w:val="center"/>
              <w:textAlignment w:val="center"/>
              <w:rPr>
                <w:rFonts w:hint="eastAsia" w:ascii="宋体" w:hAnsi="宋体" w:eastAsia="宋体" w:cs="宋体"/>
                <w:color w:val="000000"/>
                <w:szCs w:val="21"/>
              </w:rPr>
            </w:pPr>
            <w:r>
              <w:rPr>
                <w:rFonts w:hint="eastAsia"/>
                <w:color w:val="000000"/>
                <w:sz w:val="18"/>
                <w:szCs w:val="18"/>
              </w:rPr>
              <w:t>300</w:t>
            </w:r>
          </w:p>
        </w:tc>
        <w:tc>
          <w:tcPr>
            <w:tcW w:w="1276" w:type="dxa"/>
            <w:tcBorders>
              <w:top w:val="single" w:color="auto" w:sz="4" w:space="0"/>
              <w:left w:val="single" w:color="auto" w:sz="4" w:space="0"/>
              <w:bottom w:val="single" w:color="auto" w:sz="4" w:space="0"/>
              <w:right w:val="single" w:color="auto" w:sz="4" w:space="0"/>
            </w:tcBorders>
            <w:vAlign w:val="center"/>
          </w:tcPr>
          <w:p w14:paraId="4C94A59C">
            <w:pPr>
              <w:jc w:val="center"/>
              <w:rPr>
                <w:rFonts w:hint="eastAsia" w:ascii="宋体" w:hAnsi="宋体" w:eastAsia="宋体" w:cs="宋体"/>
                <w:color w:val="000000"/>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7DA23938">
            <w:pPr>
              <w:jc w:val="center"/>
              <w:rPr>
                <w:rFonts w:hint="eastAsia" w:ascii="宋体" w:hAnsi="宋体" w:eastAsia="宋体" w:cs="宋体"/>
                <w:color w:val="000000"/>
                <w:szCs w:val="21"/>
              </w:rPr>
            </w:pPr>
          </w:p>
        </w:tc>
      </w:tr>
      <w:tr w14:paraId="1DCE11DD">
        <w:tblPrEx>
          <w:tblCellMar>
            <w:top w:w="0" w:type="dxa"/>
            <w:left w:w="108" w:type="dxa"/>
            <w:bottom w:w="0" w:type="dxa"/>
            <w:right w:w="108" w:type="dxa"/>
          </w:tblCellMar>
        </w:tblPrEx>
        <w:trPr>
          <w:trHeight w:val="495" w:hRule="atLeast"/>
          <w:jc w:val="center"/>
        </w:trPr>
        <w:tc>
          <w:tcPr>
            <w:tcW w:w="709" w:type="dxa"/>
            <w:tcBorders>
              <w:top w:val="single" w:color="000000" w:sz="4" w:space="0"/>
              <w:left w:val="single" w:color="000000" w:sz="4" w:space="0"/>
              <w:bottom w:val="single" w:color="000000" w:sz="4" w:space="0"/>
              <w:right w:val="single" w:color="000000" w:sz="4" w:space="0"/>
            </w:tcBorders>
            <w:noWrap/>
            <w:vAlign w:val="center"/>
          </w:tcPr>
          <w:p w14:paraId="23733AD4">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9</w:t>
            </w:r>
          </w:p>
        </w:tc>
        <w:tc>
          <w:tcPr>
            <w:tcW w:w="2121" w:type="dxa"/>
            <w:tcBorders>
              <w:top w:val="nil"/>
              <w:left w:val="single" w:color="auto" w:sz="8" w:space="0"/>
              <w:bottom w:val="single" w:color="auto" w:sz="4" w:space="0"/>
              <w:right w:val="single" w:color="auto" w:sz="4" w:space="0"/>
            </w:tcBorders>
            <w:shd w:val="clear" w:color="000000" w:fill="FFFFFF"/>
            <w:vAlign w:val="center"/>
          </w:tcPr>
          <w:p w14:paraId="16A4A70B">
            <w:pPr>
              <w:widowControl/>
              <w:jc w:val="center"/>
              <w:textAlignment w:val="center"/>
              <w:rPr>
                <w:rFonts w:hint="eastAsia"/>
              </w:rPr>
            </w:pPr>
            <w:r>
              <w:rPr>
                <w:rFonts w:hint="eastAsia"/>
                <w:color w:val="000000"/>
                <w:sz w:val="18"/>
                <w:szCs w:val="18"/>
              </w:rPr>
              <w:t>桃山皮海盐芝士月饼</w:t>
            </w:r>
          </w:p>
        </w:tc>
        <w:tc>
          <w:tcPr>
            <w:tcW w:w="857" w:type="dxa"/>
            <w:tcBorders>
              <w:top w:val="nil"/>
              <w:left w:val="nil"/>
              <w:bottom w:val="single" w:color="auto" w:sz="4" w:space="0"/>
              <w:right w:val="single" w:color="auto" w:sz="4" w:space="0"/>
            </w:tcBorders>
            <w:shd w:val="clear" w:color="000000" w:fill="FFFFFF"/>
            <w:vAlign w:val="center"/>
          </w:tcPr>
          <w:p w14:paraId="45A9042C">
            <w:pPr>
              <w:widowControl/>
              <w:jc w:val="center"/>
              <w:textAlignment w:val="center"/>
              <w:rPr>
                <w:rFonts w:hint="eastAsia"/>
              </w:rPr>
            </w:pPr>
            <w:r>
              <w:rPr>
                <w:rFonts w:hint="eastAsia"/>
                <w:color w:val="000000"/>
                <w:sz w:val="18"/>
                <w:szCs w:val="18"/>
              </w:rPr>
              <w:t>60g/个</w:t>
            </w:r>
          </w:p>
        </w:tc>
        <w:tc>
          <w:tcPr>
            <w:tcW w:w="1115" w:type="dxa"/>
            <w:gridSpan w:val="2"/>
            <w:tcBorders>
              <w:top w:val="nil"/>
              <w:left w:val="nil"/>
              <w:bottom w:val="single" w:color="auto" w:sz="4" w:space="0"/>
              <w:right w:val="single" w:color="auto" w:sz="4" w:space="0"/>
            </w:tcBorders>
            <w:shd w:val="clear" w:color="000000" w:fill="FFFFFF"/>
            <w:vAlign w:val="center"/>
          </w:tcPr>
          <w:p w14:paraId="0011E827">
            <w:pPr>
              <w:widowControl/>
              <w:jc w:val="center"/>
              <w:textAlignment w:val="center"/>
              <w:rPr>
                <w:rFonts w:hint="eastAsia"/>
              </w:rPr>
            </w:pPr>
            <w:r>
              <w:rPr>
                <w:rFonts w:hint="eastAsia"/>
                <w:color w:val="000000"/>
                <w:sz w:val="18"/>
                <w:szCs w:val="18"/>
              </w:rPr>
              <w:t>26500</w:t>
            </w:r>
          </w:p>
        </w:tc>
        <w:tc>
          <w:tcPr>
            <w:tcW w:w="1430" w:type="dxa"/>
            <w:tcBorders>
              <w:top w:val="nil"/>
              <w:left w:val="single" w:color="auto" w:sz="4" w:space="0"/>
              <w:bottom w:val="single" w:color="auto" w:sz="4" w:space="0"/>
              <w:right w:val="single" w:color="auto" w:sz="4" w:space="0"/>
            </w:tcBorders>
            <w:vAlign w:val="center"/>
          </w:tcPr>
          <w:p w14:paraId="4A03BD51">
            <w:pPr>
              <w:widowControl/>
              <w:jc w:val="center"/>
              <w:textAlignment w:val="center"/>
              <w:rPr>
                <w:rFonts w:hint="eastAsia"/>
              </w:rPr>
            </w:pPr>
            <w:r>
              <w:rPr>
                <w:rFonts w:hint="eastAsia"/>
                <w:color w:val="000000"/>
                <w:sz w:val="18"/>
                <w:szCs w:val="18"/>
              </w:rPr>
              <w:t>700</w:t>
            </w:r>
          </w:p>
        </w:tc>
        <w:tc>
          <w:tcPr>
            <w:tcW w:w="1276" w:type="dxa"/>
            <w:tcBorders>
              <w:top w:val="single" w:color="auto" w:sz="4" w:space="0"/>
              <w:left w:val="single" w:color="auto" w:sz="4" w:space="0"/>
              <w:bottom w:val="single" w:color="auto" w:sz="4" w:space="0"/>
              <w:right w:val="single" w:color="auto" w:sz="4" w:space="0"/>
            </w:tcBorders>
            <w:vAlign w:val="center"/>
          </w:tcPr>
          <w:p w14:paraId="0C829928">
            <w:pPr>
              <w:jc w:val="center"/>
              <w:rPr>
                <w:rFonts w:hint="eastAsia" w:ascii="宋体" w:hAnsi="宋体" w:eastAsia="宋体" w:cs="宋体"/>
                <w:color w:val="000000"/>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093A54A6">
            <w:pPr>
              <w:jc w:val="center"/>
              <w:rPr>
                <w:rFonts w:hint="eastAsia" w:ascii="宋体" w:hAnsi="宋体" w:eastAsia="宋体" w:cs="宋体"/>
                <w:color w:val="000000"/>
                <w:szCs w:val="21"/>
              </w:rPr>
            </w:pPr>
          </w:p>
        </w:tc>
      </w:tr>
      <w:tr w14:paraId="3606D09C">
        <w:tblPrEx>
          <w:tblCellMar>
            <w:top w:w="0" w:type="dxa"/>
            <w:left w:w="108" w:type="dxa"/>
            <w:bottom w:w="0" w:type="dxa"/>
            <w:right w:w="108" w:type="dxa"/>
          </w:tblCellMar>
        </w:tblPrEx>
        <w:trPr>
          <w:trHeight w:val="367" w:hRule="atLeast"/>
          <w:jc w:val="center"/>
        </w:trPr>
        <w:tc>
          <w:tcPr>
            <w:tcW w:w="709" w:type="dxa"/>
            <w:tcBorders>
              <w:top w:val="single" w:color="000000" w:sz="4" w:space="0"/>
              <w:left w:val="single" w:color="000000" w:sz="4" w:space="0"/>
              <w:bottom w:val="single" w:color="000000" w:sz="4" w:space="0"/>
              <w:right w:val="single" w:color="000000" w:sz="4" w:space="0"/>
            </w:tcBorders>
            <w:noWrap/>
            <w:vAlign w:val="center"/>
          </w:tcPr>
          <w:p w14:paraId="00F4930A">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10</w:t>
            </w:r>
          </w:p>
        </w:tc>
        <w:tc>
          <w:tcPr>
            <w:tcW w:w="2121" w:type="dxa"/>
            <w:tcBorders>
              <w:top w:val="nil"/>
              <w:left w:val="single" w:color="auto" w:sz="8" w:space="0"/>
              <w:bottom w:val="single" w:color="auto" w:sz="4" w:space="0"/>
              <w:right w:val="single" w:color="auto" w:sz="4" w:space="0"/>
            </w:tcBorders>
            <w:shd w:val="clear" w:color="000000" w:fill="FFFFFF"/>
            <w:vAlign w:val="center"/>
          </w:tcPr>
          <w:p w14:paraId="41B99C22">
            <w:pPr>
              <w:widowControl/>
              <w:jc w:val="center"/>
              <w:textAlignment w:val="center"/>
              <w:rPr>
                <w:rFonts w:hint="eastAsia"/>
              </w:rPr>
            </w:pPr>
            <w:r>
              <w:rPr>
                <w:rFonts w:hint="eastAsia"/>
                <w:color w:val="000000"/>
                <w:sz w:val="18"/>
                <w:szCs w:val="18"/>
              </w:rPr>
              <w:t>桃山皮黑松露火腿月饼</w:t>
            </w:r>
          </w:p>
        </w:tc>
        <w:tc>
          <w:tcPr>
            <w:tcW w:w="857" w:type="dxa"/>
            <w:tcBorders>
              <w:top w:val="nil"/>
              <w:left w:val="nil"/>
              <w:bottom w:val="single" w:color="auto" w:sz="4" w:space="0"/>
              <w:right w:val="single" w:color="auto" w:sz="4" w:space="0"/>
            </w:tcBorders>
            <w:shd w:val="clear" w:color="000000" w:fill="FFFFFF"/>
            <w:vAlign w:val="center"/>
          </w:tcPr>
          <w:p w14:paraId="08A7925B">
            <w:pPr>
              <w:widowControl/>
              <w:jc w:val="center"/>
              <w:textAlignment w:val="center"/>
              <w:rPr>
                <w:rFonts w:hint="eastAsia"/>
              </w:rPr>
            </w:pPr>
            <w:r>
              <w:rPr>
                <w:rFonts w:hint="eastAsia"/>
                <w:color w:val="000000"/>
                <w:sz w:val="18"/>
                <w:szCs w:val="18"/>
              </w:rPr>
              <w:t>60g/个</w:t>
            </w:r>
          </w:p>
        </w:tc>
        <w:tc>
          <w:tcPr>
            <w:tcW w:w="1115" w:type="dxa"/>
            <w:gridSpan w:val="2"/>
            <w:tcBorders>
              <w:top w:val="nil"/>
              <w:left w:val="nil"/>
              <w:bottom w:val="single" w:color="auto" w:sz="4" w:space="0"/>
              <w:right w:val="single" w:color="auto" w:sz="4" w:space="0"/>
            </w:tcBorders>
            <w:shd w:val="clear" w:color="000000" w:fill="FFFFFF"/>
            <w:vAlign w:val="center"/>
          </w:tcPr>
          <w:p w14:paraId="1FA66F5F">
            <w:pPr>
              <w:widowControl/>
              <w:jc w:val="center"/>
              <w:textAlignment w:val="center"/>
              <w:rPr>
                <w:rFonts w:hint="eastAsia"/>
              </w:rPr>
            </w:pPr>
            <w:r>
              <w:rPr>
                <w:rFonts w:hint="eastAsia"/>
                <w:color w:val="000000"/>
                <w:sz w:val="18"/>
                <w:szCs w:val="18"/>
              </w:rPr>
              <w:t xml:space="preserve">8000 </w:t>
            </w:r>
          </w:p>
        </w:tc>
        <w:tc>
          <w:tcPr>
            <w:tcW w:w="1430" w:type="dxa"/>
            <w:tcBorders>
              <w:top w:val="nil"/>
              <w:left w:val="single" w:color="auto" w:sz="4" w:space="0"/>
              <w:bottom w:val="single" w:color="auto" w:sz="4" w:space="0"/>
              <w:right w:val="single" w:color="auto" w:sz="4" w:space="0"/>
            </w:tcBorders>
            <w:vAlign w:val="center"/>
          </w:tcPr>
          <w:p w14:paraId="4F0B5FD6">
            <w:pPr>
              <w:widowControl/>
              <w:jc w:val="center"/>
              <w:textAlignment w:val="center"/>
              <w:rPr>
                <w:rFonts w:hint="eastAsia"/>
              </w:rPr>
            </w:pPr>
            <w:r>
              <w:rPr>
                <w:rFonts w:hint="eastAsia"/>
                <w:color w:val="000000"/>
                <w:sz w:val="18"/>
                <w:szCs w:val="18"/>
              </w:rPr>
              <w:t>120</w:t>
            </w:r>
          </w:p>
        </w:tc>
        <w:tc>
          <w:tcPr>
            <w:tcW w:w="1276" w:type="dxa"/>
            <w:tcBorders>
              <w:top w:val="single" w:color="auto" w:sz="4" w:space="0"/>
              <w:left w:val="single" w:color="auto" w:sz="4" w:space="0"/>
              <w:bottom w:val="single" w:color="auto" w:sz="4" w:space="0"/>
              <w:right w:val="single" w:color="auto" w:sz="4" w:space="0"/>
            </w:tcBorders>
            <w:vAlign w:val="center"/>
          </w:tcPr>
          <w:p w14:paraId="026863CC">
            <w:pPr>
              <w:jc w:val="center"/>
              <w:rPr>
                <w:rFonts w:hint="eastAsia" w:ascii="宋体" w:hAnsi="宋体" w:eastAsia="宋体" w:cs="宋体"/>
                <w:color w:val="000000"/>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79C92E6C">
            <w:pPr>
              <w:jc w:val="center"/>
              <w:rPr>
                <w:rFonts w:hint="eastAsia" w:ascii="宋体" w:hAnsi="宋体" w:eastAsia="宋体" w:cs="宋体"/>
                <w:color w:val="000000"/>
                <w:szCs w:val="21"/>
              </w:rPr>
            </w:pPr>
          </w:p>
        </w:tc>
      </w:tr>
      <w:tr w14:paraId="14D15F8F">
        <w:tblPrEx>
          <w:tblCellMar>
            <w:top w:w="0" w:type="dxa"/>
            <w:left w:w="108" w:type="dxa"/>
            <w:bottom w:w="0" w:type="dxa"/>
            <w:right w:w="108" w:type="dxa"/>
          </w:tblCellMar>
        </w:tblPrEx>
        <w:trPr>
          <w:trHeight w:val="444" w:hRule="atLeast"/>
          <w:jc w:val="center"/>
        </w:trPr>
        <w:tc>
          <w:tcPr>
            <w:tcW w:w="709" w:type="dxa"/>
            <w:tcBorders>
              <w:top w:val="single" w:color="000000" w:sz="4" w:space="0"/>
              <w:left w:val="single" w:color="000000" w:sz="4" w:space="0"/>
              <w:bottom w:val="single" w:color="000000" w:sz="4" w:space="0"/>
              <w:right w:val="single" w:color="000000" w:sz="4" w:space="0"/>
            </w:tcBorders>
            <w:noWrap/>
            <w:vAlign w:val="center"/>
          </w:tcPr>
          <w:p w14:paraId="53F72451">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11</w:t>
            </w:r>
          </w:p>
        </w:tc>
        <w:tc>
          <w:tcPr>
            <w:tcW w:w="2121" w:type="dxa"/>
            <w:tcBorders>
              <w:top w:val="nil"/>
              <w:left w:val="single" w:color="auto" w:sz="8" w:space="0"/>
              <w:bottom w:val="single" w:color="auto" w:sz="4" w:space="0"/>
              <w:right w:val="single" w:color="auto" w:sz="4" w:space="0"/>
            </w:tcBorders>
            <w:shd w:val="clear" w:color="000000" w:fill="FFFFFF"/>
            <w:vAlign w:val="center"/>
          </w:tcPr>
          <w:p w14:paraId="4B391503">
            <w:pPr>
              <w:widowControl/>
              <w:jc w:val="center"/>
              <w:textAlignment w:val="center"/>
              <w:rPr>
                <w:rFonts w:hint="eastAsia"/>
              </w:rPr>
            </w:pPr>
            <w:r>
              <w:rPr>
                <w:rFonts w:hint="eastAsia"/>
                <w:color w:val="000000"/>
                <w:sz w:val="18"/>
                <w:szCs w:val="18"/>
              </w:rPr>
              <w:t>桃山皮小青柑桔洱月饼</w:t>
            </w:r>
          </w:p>
        </w:tc>
        <w:tc>
          <w:tcPr>
            <w:tcW w:w="857" w:type="dxa"/>
            <w:tcBorders>
              <w:top w:val="nil"/>
              <w:left w:val="nil"/>
              <w:bottom w:val="single" w:color="auto" w:sz="4" w:space="0"/>
              <w:right w:val="single" w:color="auto" w:sz="4" w:space="0"/>
            </w:tcBorders>
            <w:shd w:val="clear" w:color="000000" w:fill="FFFFFF"/>
            <w:vAlign w:val="center"/>
          </w:tcPr>
          <w:p w14:paraId="67E7E8E8">
            <w:pPr>
              <w:widowControl/>
              <w:jc w:val="center"/>
              <w:textAlignment w:val="center"/>
              <w:rPr>
                <w:rFonts w:hint="eastAsia"/>
              </w:rPr>
            </w:pPr>
            <w:r>
              <w:rPr>
                <w:rFonts w:hint="eastAsia"/>
                <w:color w:val="000000"/>
                <w:sz w:val="18"/>
                <w:szCs w:val="18"/>
              </w:rPr>
              <w:t>60g/个</w:t>
            </w:r>
          </w:p>
        </w:tc>
        <w:tc>
          <w:tcPr>
            <w:tcW w:w="1115" w:type="dxa"/>
            <w:gridSpan w:val="2"/>
            <w:tcBorders>
              <w:top w:val="nil"/>
              <w:left w:val="nil"/>
              <w:bottom w:val="single" w:color="auto" w:sz="4" w:space="0"/>
              <w:right w:val="single" w:color="auto" w:sz="4" w:space="0"/>
            </w:tcBorders>
            <w:shd w:val="clear" w:color="000000" w:fill="FFFFFF"/>
            <w:vAlign w:val="center"/>
          </w:tcPr>
          <w:p w14:paraId="46DEFDCC">
            <w:pPr>
              <w:widowControl/>
              <w:jc w:val="center"/>
              <w:textAlignment w:val="center"/>
              <w:rPr>
                <w:rFonts w:hint="eastAsia"/>
              </w:rPr>
            </w:pPr>
            <w:r>
              <w:rPr>
                <w:rFonts w:hint="eastAsia"/>
                <w:color w:val="000000"/>
                <w:sz w:val="18"/>
                <w:szCs w:val="18"/>
              </w:rPr>
              <w:t xml:space="preserve">8000 </w:t>
            </w:r>
          </w:p>
        </w:tc>
        <w:tc>
          <w:tcPr>
            <w:tcW w:w="1430" w:type="dxa"/>
            <w:tcBorders>
              <w:top w:val="nil"/>
              <w:left w:val="single" w:color="auto" w:sz="4" w:space="0"/>
              <w:bottom w:val="single" w:color="auto" w:sz="4" w:space="0"/>
              <w:right w:val="single" w:color="auto" w:sz="4" w:space="0"/>
            </w:tcBorders>
            <w:vAlign w:val="center"/>
          </w:tcPr>
          <w:p w14:paraId="73BB5C10">
            <w:pPr>
              <w:widowControl/>
              <w:jc w:val="center"/>
              <w:textAlignment w:val="center"/>
              <w:rPr>
                <w:rFonts w:hint="eastAsia"/>
              </w:rPr>
            </w:pPr>
            <w:r>
              <w:rPr>
                <w:rFonts w:hint="eastAsia"/>
                <w:color w:val="000000"/>
                <w:sz w:val="18"/>
                <w:szCs w:val="18"/>
              </w:rPr>
              <w:t>400</w:t>
            </w:r>
          </w:p>
        </w:tc>
        <w:tc>
          <w:tcPr>
            <w:tcW w:w="1276" w:type="dxa"/>
            <w:tcBorders>
              <w:top w:val="single" w:color="auto" w:sz="4" w:space="0"/>
              <w:left w:val="single" w:color="auto" w:sz="4" w:space="0"/>
              <w:bottom w:val="single" w:color="auto" w:sz="4" w:space="0"/>
              <w:right w:val="single" w:color="auto" w:sz="4" w:space="0"/>
            </w:tcBorders>
            <w:vAlign w:val="center"/>
          </w:tcPr>
          <w:p w14:paraId="75C7D3A9">
            <w:pPr>
              <w:jc w:val="center"/>
              <w:rPr>
                <w:rFonts w:hint="eastAsia" w:ascii="宋体" w:hAnsi="宋体" w:eastAsia="宋体" w:cs="宋体"/>
                <w:color w:val="000000"/>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0E0FF25C">
            <w:pPr>
              <w:jc w:val="center"/>
              <w:rPr>
                <w:rFonts w:hint="eastAsia" w:ascii="宋体" w:hAnsi="宋体" w:eastAsia="宋体" w:cs="宋体"/>
                <w:color w:val="000000"/>
                <w:szCs w:val="21"/>
              </w:rPr>
            </w:pPr>
          </w:p>
        </w:tc>
      </w:tr>
      <w:tr w14:paraId="58F600F4">
        <w:tblPrEx>
          <w:tblCellMar>
            <w:top w:w="0" w:type="dxa"/>
            <w:left w:w="108" w:type="dxa"/>
            <w:bottom w:w="0" w:type="dxa"/>
            <w:right w:w="108" w:type="dxa"/>
          </w:tblCellMar>
        </w:tblPrEx>
        <w:trPr>
          <w:trHeight w:val="508" w:hRule="atLeast"/>
          <w:jc w:val="center"/>
        </w:trPr>
        <w:tc>
          <w:tcPr>
            <w:tcW w:w="709" w:type="dxa"/>
            <w:tcBorders>
              <w:top w:val="single" w:color="000000" w:sz="4" w:space="0"/>
              <w:left w:val="single" w:color="000000" w:sz="4" w:space="0"/>
              <w:bottom w:val="single" w:color="000000" w:sz="4" w:space="0"/>
              <w:right w:val="single" w:color="000000" w:sz="4" w:space="0"/>
            </w:tcBorders>
            <w:noWrap/>
            <w:vAlign w:val="center"/>
          </w:tcPr>
          <w:p w14:paraId="447CAE64">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12</w:t>
            </w:r>
          </w:p>
        </w:tc>
        <w:tc>
          <w:tcPr>
            <w:tcW w:w="2121" w:type="dxa"/>
            <w:tcBorders>
              <w:top w:val="nil"/>
              <w:left w:val="single" w:color="auto" w:sz="8" w:space="0"/>
              <w:bottom w:val="single" w:color="auto" w:sz="4" w:space="0"/>
              <w:right w:val="single" w:color="auto" w:sz="4" w:space="0"/>
            </w:tcBorders>
            <w:shd w:val="clear" w:color="000000" w:fill="FFFFFF"/>
            <w:vAlign w:val="center"/>
          </w:tcPr>
          <w:p w14:paraId="7E3B1ADA">
            <w:pPr>
              <w:widowControl/>
              <w:jc w:val="center"/>
              <w:textAlignment w:val="center"/>
              <w:rPr>
                <w:rFonts w:hint="eastAsia"/>
              </w:rPr>
            </w:pPr>
            <w:r>
              <w:rPr>
                <w:rFonts w:hint="eastAsia"/>
                <w:color w:val="000000"/>
                <w:sz w:val="18"/>
                <w:szCs w:val="18"/>
              </w:rPr>
              <w:t>桃山皮杨枝甘露月饼</w:t>
            </w:r>
          </w:p>
        </w:tc>
        <w:tc>
          <w:tcPr>
            <w:tcW w:w="857" w:type="dxa"/>
            <w:tcBorders>
              <w:top w:val="nil"/>
              <w:left w:val="nil"/>
              <w:bottom w:val="single" w:color="auto" w:sz="4" w:space="0"/>
              <w:right w:val="single" w:color="auto" w:sz="4" w:space="0"/>
            </w:tcBorders>
            <w:shd w:val="clear" w:color="000000" w:fill="FFFFFF"/>
            <w:vAlign w:val="center"/>
          </w:tcPr>
          <w:p w14:paraId="3C8205F2">
            <w:pPr>
              <w:widowControl/>
              <w:jc w:val="center"/>
              <w:textAlignment w:val="center"/>
              <w:rPr>
                <w:rFonts w:hint="eastAsia"/>
              </w:rPr>
            </w:pPr>
            <w:r>
              <w:rPr>
                <w:rFonts w:hint="eastAsia"/>
                <w:color w:val="000000"/>
                <w:sz w:val="18"/>
                <w:szCs w:val="18"/>
              </w:rPr>
              <w:t>60g/个</w:t>
            </w:r>
          </w:p>
        </w:tc>
        <w:tc>
          <w:tcPr>
            <w:tcW w:w="1115" w:type="dxa"/>
            <w:gridSpan w:val="2"/>
            <w:tcBorders>
              <w:top w:val="nil"/>
              <w:left w:val="nil"/>
              <w:bottom w:val="single" w:color="auto" w:sz="4" w:space="0"/>
              <w:right w:val="single" w:color="auto" w:sz="4" w:space="0"/>
            </w:tcBorders>
            <w:shd w:val="clear" w:color="000000" w:fill="FFFFFF"/>
            <w:vAlign w:val="center"/>
          </w:tcPr>
          <w:p w14:paraId="632AEC5B">
            <w:pPr>
              <w:widowControl/>
              <w:jc w:val="center"/>
              <w:textAlignment w:val="center"/>
              <w:rPr>
                <w:rFonts w:hint="eastAsia"/>
              </w:rPr>
            </w:pPr>
            <w:r>
              <w:rPr>
                <w:rFonts w:hint="eastAsia"/>
                <w:color w:val="000000"/>
                <w:sz w:val="18"/>
                <w:szCs w:val="18"/>
              </w:rPr>
              <w:t xml:space="preserve">20500 </w:t>
            </w:r>
          </w:p>
        </w:tc>
        <w:tc>
          <w:tcPr>
            <w:tcW w:w="1430" w:type="dxa"/>
            <w:tcBorders>
              <w:top w:val="nil"/>
              <w:left w:val="single" w:color="auto" w:sz="4" w:space="0"/>
              <w:bottom w:val="single" w:color="auto" w:sz="4" w:space="0"/>
              <w:right w:val="single" w:color="auto" w:sz="4" w:space="0"/>
            </w:tcBorders>
            <w:vAlign w:val="center"/>
          </w:tcPr>
          <w:p w14:paraId="00BA37EE">
            <w:pPr>
              <w:widowControl/>
              <w:jc w:val="center"/>
              <w:textAlignment w:val="center"/>
              <w:rPr>
                <w:rFonts w:hint="eastAsia"/>
              </w:rPr>
            </w:pPr>
            <w:r>
              <w:rPr>
                <w:rFonts w:hint="eastAsia"/>
                <w:color w:val="000000"/>
                <w:sz w:val="18"/>
                <w:szCs w:val="18"/>
              </w:rPr>
              <w:t>520</w:t>
            </w:r>
          </w:p>
        </w:tc>
        <w:tc>
          <w:tcPr>
            <w:tcW w:w="1276" w:type="dxa"/>
            <w:tcBorders>
              <w:top w:val="single" w:color="auto" w:sz="4" w:space="0"/>
              <w:left w:val="single" w:color="auto" w:sz="4" w:space="0"/>
              <w:bottom w:val="single" w:color="auto" w:sz="4" w:space="0"/>
              <w:right w:val="single" w:color="auto" w:sz="4" w:space="0"/>
            </w:tcBorders>
            <w:vAlign w:val="center"/>
          </w:tcPr>
          <w:p w14:paraId="030042E9">
            <w:pPr>
              <w:jc w:val="center"/>
              <w:rPr>
                <w:rFonts w:hint="eastAsia" w:ascii="宋体" w:hAnsi="宋体" w:eastAsia="宋体" w:cs="宋体"/>
                <w:color w:val="000000"/>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3C13A6E2">
            <w:pPr>
              <w:jc w:val="center"/>
              <w:rPr>
                <w:rFonts w:hint="eastAsia" w:ascii="宋体" w:hAnsi="宋体" w:eastAsia="宋体" w:cs="宋体"/>
                <w:color w:val="000000"/>
                <w:szCs w:val="21"/>
              </w:rPr>
            </w:pPr>
          </w:p>
        </w:tc>
      </w:tr>
      <w:tr w14:paraId="69333390">
        <w:tblPrEx>
          <w:tblCellMar>
            <w:top w:w="0" w:type="dxa"/>
            <w:left w:w="108" w:type="dxa"/>
            <w:bottom w:w="0" w:type="dxa"/>
            <w:right w:w="108" w:type="dxa"/>
          </w:tblCellMar>
        </w:tblPrEx>
        <w:trPr>
          <w:trHeight w:val="416" w:hRule="atLeast"/>
          <w:jc w:val="center"/>
        </w:trPr>
        <w:tc>
          <w:tcPr>
            <w:tcW w:w="709" w:type="dxa"/>
            <w:tcBorders>
              <w:top w:val="single" w:color="000000" w:sz="4" w:space="0"/>
              <w:left w:val="single" w:color="000000" w:sz="4" w:space="0"/>
              <w:bottom w:val="single" w:color="000000" w:sz="4" w:space="0"/>
              <w:right w:val="single" w:color="000000" w:sz="4" w:space="0"/>
            </w:tcBorders>
            <w:noWrap/>
            <w:vAlign w:val="center"/>
          </w:tcPr>
          <w:p w14:paraId="0E5B1FCD">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13</w:t>
            </w:r>
          </w:p>
        </w:tc>
        <w:tc>
          <w:tcPr>
            <w:tcW w:w="2121" w:type="dxa"/>
            <w:tcBorders>
              <w:top w:val="nil"/>
              <w:left w:val="single" w:color="auto" w:sz="8" w:space="0"/>
              <w:bottom w:val="single" w:color="auto" w:sz="4" w:space="0"/>
              <w:right w:val="single" w:color="auto" w:sz="4" w:space="0"/>
            </w:tcBorders>
            <w:shd w:val="clear" w:color="000000" w:fill="FFFFFF"/>
            <w:vAlign w:val="center"/>
          </w:tcPr>
          <w:p w14:paraId="58DFA222">
            <w:pPr>
              <w:widowControl/>
              <w:jc w:val="center"/>
              <w:textAlignment w:val="center"/>
              <w:rPr>
                <w:rFonts w:hint="eastAsia" w:ascii="宋体" w:hAnsi="宋体" w:eastAsia="宋体" w:cs="宋体"/>
                <w:color w:val="000000"/>
                <w:szCs w:val="21"/>
              </w:rPr>
            </w:pPr>
            <w:r>
              <w:rPr>
                <w:rFonts w:hint="eastAsia"/>
                <w:color w:val="000000"/>
                <w:sz w:val="18"/>
                <w:szCs w:val="18"/>
              </w:rPr>
              <w:t>樱桃玫瑰米皮月饼</w:t>
            </w:r>
          </w:p>
        </w:tc>
        <w:tc>
          <w:tcPr>
            <w:tcW w:w="857" w:type="dxa"/>
            <w:tcBorders>
              <w:top w:val="nil"/>
              <w:left w:val="nil"/>
              <w:bottom w:val="single" w:color="auto" w:sz="4" w:space="0"/>
              <w:right w:val="single" w:color="auto" w:sz="4" w:space="0"/>
            </w:tcBorders>
            <w:shd w:val="clear" w:color="000000" w:fill="FFFFFF"/>
            <w:vAlign w:val="center"/>
          </w:tcPr>
          <w:p w14:paraId="165BE811">
            <w:pPr>
              <w:widowControl/>
              <w:jc w:val="center"/>
              <w:textAlignment w:val="center"/>
              <w:rPr>
                <w:rFonts w:hint="eastAsia" w:ascii="宋体" w:hAnsi="宋体" w:eastAsia="宋体" w:cs="宋体"/>
                <w:color w:val="000000"/>
                <w:szCs w:val="21"/>
              </w:rPr>
            </w:pPr>
            <w:r>
              <w:rPr>
                <w:rFonts w:hint="eastAsia"/>
                <w:color w:val="000000"/>
                <w:sz w:val="18"/>
                <w:szCs w:val="18"/>
              </w:rPr>
              <w:t>60g/个</w:t>
            </w:r>
          </w:p>
        </w:tc>
        <w:tc>
          <w:tcPr>
            <w:tcW w:w="1115" w:type="dxa"/>
            <w:gridSpan w:val="2"/>
            <w:tcBorders>
              <w:top w:val="nil"/>
              <w:left w:val="nil"/>
              <w:bottom w:val="single" w:color="auto" w:sz="4" w:space="0"/>
              <w:right w:val="single" w:color="auto" w:sz="4" w:space="0"/>
            </w:tcBorders>
            <w:shd w:val="clear" w:color="000000" w:fill="FFFFFF"/>
            <w:vAlign w:val="center"/>
          </w:tcPr>
          <w:p w14:paraId="5EE2955D">
            <w:pPr>
              <w:widowControl/>
              <w:jc w:val="center"/>
              <w:textAlignment w:val="center"/>
              <w:rPr>
                <w:rFonts w:hint="eastAsia" w:ascii="宋体" w:hAnsi="宋体" w:eastAsia="宋体" w:cs="宋体"/>
                <w:color w:val="000000"/>
                <w:szCs w:val="21"/>
              </w:rPr>
            </w:pPr>
            <w:r>
              <w:rPr>
                <w:rFonts w:hint="eastAsia"/>
                <w:color w:val="000000"/>
                <w:sz w:val="18"/>
                <w:szCs w:val="18"/>
              </w:rPr>
              <w:t xml:space="preserve">16000 </w:t>
            </w:r>
          </w:p>
        </w:tc>
        <w:tc>
          <w:tcPr>
            <w:tcW w:w="1430" w:type="dxa"/>
            <w:tcBorders>
              <w:top w:val="nil"/>
              <w:left w:val="single" w:color="auto" w:sz="4" w:space="0"/>
              <w:bottom w:val="single" w:color="auto" w:sz="4" w:space="0"/>
              <w:right w:val="single" w:color="auto" w:sz="4" w:space="0"/>
            </w:tcBorders>
            <w:vAlign w:val="center"/>
          </w:tcPr>
          <w:p w14:paraId="3588EBAD">
            <w:pPr>
              <w:widowControl/>
              <w:jc w:val="center"/>
              <w:textAlignment w:val="center"/>
              <w:rPr>
                <w:rFonts w:hint="eastAsia" w:ascii="宋体" w:hAnsi="宋体" w:eastAsia="宋体" w:cs="宋体"/>
                <w:color w:val="000000"/>
                <w:szCs w:val="21"/>
              </w:rPr>
            </w:pPr>
            <w:r>
              <w:rPr>
                <w:rFonts w:hint="eastAsia"/>
                <w:color w:val="000000"/>
                <w:sz w:val="18"/>
                <w:szCs w:val="18"/>
              </w:rPr>
              <w:t>520</w:t>
            </w:r>
          </w:p>
        </w:tc>
        <w:tc>
          <w:tcPr>
            <w:tcW w:w="1276" w:type="dxa"/>
            <w:tcBorders>
              <w:top w:val="single" w:color="auto" w:sz="4" w:space="0"/>
              <w:left w:val="single" w:color="auto" w:sz="4" w:space="0"/>
              <w:bottom w:val="single" w:color="auto" w:sz="4" w:space="0"/>
              <w:right w:val="single" w:color="auto" w:sz="4" w:space="0"/>
            </w:tcBorders>
            <w:vAlign w:val="center"/>
          </w:tcPr>
          <w:p w14:paraId="60C60BFC">
            <w:pPr>
              <w:jc w:val="center"/>
              <w:rPr>
                <w:rFonts w:hint="eastAsia" w:ascii="宋体" w:hAnsi="宋体" w:eastAsia="宋体" w:cs="宋体"/>
                <w:color w:val="000000"/>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28C6AEF8">
            <w:pPr>
              <w:jc w:val="center"/>
              <w:rPr>
                <w:rFonts w:hint="eastAsia" w:ascii="宋体" w:hAnsi="宋体" w:eastAsia="宋体" w:cs="宋体"/>
                <w:color w:val="000000"/>
                <w:szCs w:val="21"/>
              </w:rPr>
            </w:pPr>
          </w:p>
        </w:tc>
      </w:tr>
      <w:tr w14:paraId="1A7FBBA8">
        <w:tblPrEx>
          <w:tblCellMar>
            <w:top w:w="0" w:type="dxa"/>
            <w:left w:w="108" w:type="dxa"/>
            <w:bottom w:w="0" w:type="dxa"/>
            <w:right w:w="108" w:type="dxa"/>
          </w:tblCellMar>
        </w:tblPrEx>
        <w:trPr>
          <w:trHeight w:val="566" w:hRule="atLeast"/>
          <w:jc w:val="center"/>
        </w:trPr>
        <w:tc>
          <w:tcPr>
            <w:tcW w:w="3687" w:type="dxa"/>
            <w:gridSpan w:val="3"/>
            <w:tcBorders>
              <w:top w:val="single" w:color="000000" w:sz="4" w:space="0"/>
              <w:left w:val="single" w:color="000000" w:sz="4" w:space="0"/>
              <w:bottom w:val="single" w:color="000000" w:sz="4" w:space="0"/>
              <w:right w:val="single" w:color="000000" w:sz="4" w:space="0"/>
            </w:tcBorders>
            <w:noWrap/>
            <w:vAlign w:val="center"/>
          </w:tcPr>
          <w:p w14:paraId="3A16CE06">
            <w:pPr>
              <w:widowControl/>
              <w:jc w:val="center"/>
              <w:textAlignment w:val="center"/>
              <w:rPr>
                <w:rFonts w:hint="eastAsia"/>
              </w:rPr>
            </w:pPr>
            <w:r>
              <w:t>中大餐饮含税合计（元）：</w:t>
            </w:r>
          </w:p>
        </w:tc>
        <w:tc>
          <w:tcPr>
            <w:tcW w:w="5664" w:type="dxa"/>
            <w:gridSpan w:val="5"/>
            <w:tcBorders>
              <w:top w:val="single" w:color="000000" w:sz="4" w:space="0"/>
              <w:left w:val="single" w:color="000000" w:sz="4" w:space="0"/>
              <w:bottom w:val="single" w:color="000000" w:sz="4" w:space="0"/>
              <w:right w:val="single" w:color="auto" w:sz="4" w:space="0"/>
            </w:tcBorders>
          </w:tcPr>
          <w:p w14:paraId="1FF52456">
            <w:pPr>
              <w:jc w:val="center"/>
              <w:rPr>
                <w:rFonts w:hint="eastAsia" w:ascii="宋体" w:hAnsi="宋体" w:eastAsia="宋体" w:cs="宋体"/>
                <w:color w:val="000000"/>
                <w:szCs w:val="21"/>
              </w:rPr>
            </w:pPr>
          </w:p>
        </w:tc>
      </w:tr>
      <w:tr w14:paraId="0C4EB535">
        <w:tblPrEx>
          <w:tblCellMar>
            <w:top w:w="0" w:type="dxa"/>
            <w:left w:w="108" w:type="dxa"/>
            <w:bottom w:w="0" w:type="dxa"/>
            <w:right w:w="108" w:type="dxa"/>
          </w:tblCellMar>
        </w:tblPrEx>
        <w:trPr>
          <w:trHeight w:val="566" w:hRule="atLeast"/>
          <w:jc w:val="center"/>
        </w:trPr>
        <w:tc>
          <w:tcPr>
            <w:tcW w:w="3687" w:type="dxa"/>
            <w:gridSpan w:val="3"/>
            <w:tcBorders>
              <w:top w:val="single" w:color="000000" w:sz="4" w:space="0"/>
              <w:left w:val="single" w:color="000000" w:sz="4" w:space="0"/>
              <w:bottom w:val="single" w:color="000000" w:sz="4" w:space="0"/>
              <w:right w:val="single" w:color="000000" w:sz="4" w:space="0"/>
            </w:tcBorders>
            <w:noWrap/>
            <w:vAlign w:val="center"/>
          </w:tcPr>
          <w:p w14:paraId="3BBA26D1">
            <w:pPr>
              <w:widowControl/>
              <w:jc w:val="center"/>
              <w:textAlignment w:val="center"/>
              <w:rPr>
                <w:rFonts w:hint="eastAsia"/>
              </w:rPr>
            </w:pPr>
            <w:r>
              <w:t>康乐园餐饮含税合计（元）：</w:t>
            </w:r>
          </w:p>
        </w:tc>
        <w:tc>
          <w:tcPr>
            <w:tcW w:w="5664" w:type="dxa"/>
            <w:gridSpan w:val="5"/>
            <w:tcBorders>
              <w:top w:val="single" w:color="000000" w:sz="4" w:space="0"/>
              <w:left w:val="single" w:color="000000" w:sz="4" w:space="0"/>
              <w:bottom w:val="single" w:color="000000" w:sz="4" w:space="0"/>
              <w:right w:val="single" w:color="auto" w:sz="4" w:space="0"/>
            </w:tcBorders>
          </w:tcPr>
          <w:p w14:paraId="4DFA0997">
            <w:pPr>
              <w:jc w:val="center"/>
              <w:rPr>
                <w:rFonts w:hint="eastAsia" w:ascii="宋体" w:hAnsi="宋体" w:eastAsia="宋体" w:cs="宋体"/>
                <w:color w:val="000000"/>
                <w:szCs w:val="21"/>
              </w:rPr>
            </w:pPr>
          </w:p>
        </w:tc>
      </w:tr>
      <w:tr w14:paraId="45167408">
        <w:tblPrEx>
          <w:tblCellMar>
            <w:top w:w="0" w:type="dxa"/>
            <w:left w:w="108" w:type="dxa"/>
            <w:bottom w:w="0" w:type="dxa"/>
            <w:right w:w="108" w:type="dxa"/>
          </w:tblCellMar>
        </w:tblPrEx>
        <w:trPr>
          <w:trHeight w:val="493" w:hRule="atLeast"/>
          <w:jc w:val="center"/>
        </w:trPr>
        <w:tc>
          <w:tcPr>
            <w:tcW w:w="3695" w:type="dxa"/>
            <w:gridSpan w:val="4"/>
            <w:tcBorders>
              <w:top w:val="single" w:color="000000" w:sz="4" w:space="0"/>
              <w:left w:val="single" w:color="000000" w:sz="4" w:space="0"/>
              <w:bottom w:val="single" w:color="000000" w:sz="4" w:space="0"/>
              <w:right w:val="single" w:color="000000" w:sz="4" w:space="0"/>
            </w:tcBorders>
            <w:noWrap/>
            <w:vAlign w:val="center"/>
          </w:tcPr>
          <w:p w14:paraId="6C4E027D">
            <w:pPr>
              <w:widowControl/>
              <w:jc w:val="center"/>
              <w:textAlignment w:val="center"/>
              <w:rPr>
                <w:rFonts w:hint="eastAsia"/>
              </w:rPr>
            </w:pPr>
            <w:r>
              <w:t>总金额</w:t>
            </w:r>
            <w:r>
              <w:rPr>
                <w:rFonts w:hint="eastAsia"/>
              </w:rPr>
              <w:t>（</w:t>
            </w:r>
            <w:r>
              <w:t>中大餐饮、康乐园合计</w:t>
            </w:r>
            <w:r>
              <w:rPr>
                <w:rFonts w:hint="eastAsia"/>
              </w:rPr>
              <w:t>）</w:t>
            </w:r>
            <w:r>
              <w:t>（元）：</w:t>
            </w:r>
          </w:p>
        </w:tc>
        <w:tc>
          <w:tcPr>
            <w:tcW w:w="5656" w:type="dxa"/>
            <w:gridSpan w:val="4"/>
            <w:tcBorders>
              <w:top w:val="single" w:color="000000" w:sz="4" w:space="0"/>
              <w:left w:val="single" w:color="000000" w:sz="4" w:space="0"/>
              <w:bottom w:val="single" w:color="000000" w:sz="4" w:space="0"/>
              <w:right w:val="single" w:color="auto" w:sz="4" w:space="0"/>
            </w:tcBorders>
            <w:vAlign w:val="center"/>
          </w:tcPr>
          <w:p w14:paraId="07C253D3">
            <w:pPr>
              <w:jc w:val="center"/>
              <w:rPr>
                <w:rFonts w:hint="eastAsia" w:ascii="宋体" w:hAnsi="宋体" w:eastAsia="宋体" w:cs="宋体"/>
                <w:color w:val="000000"/>
                <w:szCs w:val="21"/>
              </w:rPr>
            </w:pPr>
          </w:p>
        </w:tc>
      </w:tr>
      <w:tr w14:paraId="402D1375">
        <w:tblPrEx>
          <w:tblCellMar>
            <w:top w:w="0" w:type="dxa"/>
            <w:left w:w="108" w:type="dxa"/>
            <w:bottom w:w="0" w:type="dxa"/>
            <w:right w:w="108" w:type="dxa"/>
          </w:tblCellMar>
        </w:tblPrEx>
        <w:trPr>
          <w:trHeight w:val="359" w:hRule="atLeast"/>
          <w:jc w:val="center"/>
        </w:trPr>
        <w:tc>
          <w:tcPr>
            <w:tcW w:w="3695" w:type="dxa"/>
            <w:gridSpan w:val="4"/>
            <w:tcBorders>
              <w:top w:val="single" w:color="000000" w:sz="4" w:space="0"/>
              <w:left w:val="single" w:color="000000" w:sz="4" w:space="0"/>
              <w:bottom w:val="single" w:color="000000" w:sz="4" w:space="0"/>
              <w:right w:val="single" w:color="000000" w:sz="4" w:space="0"/>
            </w:tcBorders>
            <w:noWrap/>
            <w:vAlign w:val="center"/>
          </w:tcPr>
          <w:p w14:paraId="096E4175">
            <w:pPr>
              <w:widowControl/>
              <w:jc w:val="center"/>
              <w:textAlignment w:val="center"/>
              <w:rPr>
                <w:rFonts w:hint="eastAsia"/>
              </w:rPr>
            </w:pPr>
            <w:r>
              <w:rPr>
                <w:rFonts w:hint="eastAsia"/>
              </w:rPr>
              <w:t>专票税率（%）</w:t>
            </w:r>
          </w:p>
        </w:tc>
        <w:tc>
          <w:tcPr>
            <w:tcW w:w="5656" w:type="dxa"/>
            <w:gridSpan w:val="4"/>
            <w:tcBorders>
              <w:top w:val="single" w:color="000000" w:sz="4" w:space="0"/>
              <w:left w:val="single" w:color="000000" w:sz="4" w:space="0"/>
              <w:bottom w:val="single" w:color="000000" w:sz="4" w:space="0"/>
              <w:right w:val="single" w:color="auto" w:sz="4" w:space="0"/>
            </w:tcBorders>
            <w:vAlign w:val="center"/>
          </w:tcPr>
          <w:p w14:paraId="65D1E438">
            <w:pPr>
              <w:jc w:val="center"/>
              <w:rPr>
                <w:rFonts w:hint="eastAsia" w:ascii="宋体" w:hAnsi="宋体" w:eastAsia="宋体" w:cs="宋体"/>
                <w:color w:val="000000"/>
                <w:szCs w:val="21"/>
              </w:rPr>
            </w:pPr>
          </w:p>
        </w:tc>
      </w:tr>
      <w:tr w14:paraId="3611A1F7">
        <w:tblPrEx>
          <w:tblCellMar>
            <w:top w:w="0" w:type="dxa"/>
            <w:left w:w="108" w:type="dxa"/>
            <w:bottom w:w="0" w:type="dxa"/>
            <w:right w:w="108" w:type="dxa"/>
          </w:tblCellMar>
        </w:tblPrEx>
        <w:trPr>
          <w:trHeight w:val="395" w:hRule="atLeast"/>
          <w:jc w:val="center"/>
        </w:trPr>
        <w:tc>
          <w:tcPr>
            <w:tcW w:w="3695" w:type="dxa"/>
            <w:gridSpan w:val="4"/>
            <w:tcBorders>
              <w:top w:val="single" w:color="000000" w:sz="4" w:space="0"/>
              <w:left w:val="single" w:color="000000" w:sz="4" w:space="0"/>
              <w:bottom w:val="single" w:color="000000" w:sz="4" w:space="0"/>
              <w:right w:val="single" w:color="000000" w:sz="4" w:space="0"/>
            </w:tcBorders>
            <w:noWrap/>
            <w:vAlign w:val="center"/>
          </w:tcPr>
          <w:p w14:paraId="1C50448D">
            <w:pPr>
              <w:widowControl/>
              <w:jc w:val="center"/>
              <w:textAlignment w:val="center"/>
              <w:rPr>
                <w:rFonts w:hint="eastAsia"/>
              </w:rPr>
            </w:pPr>
            <w:r>
              <w:rPr>
                <w:rFonts w:hint="eastAsia"/>
              </w:rPr>
              <w:t>单款式最低起订量（个）：</w:t>
            </w:r>
          </w:p>
        </w:tc>
        <w:tc>
          <w:tcPr>
            <w:tcW w:w="5656" w:type="dxa"/>
            <w:gridSpan w:val="4"/>
            <w:tcBorders>
              <w:top w:val="single" w:color="000000" w:sz="4" w:space="0"/>
              <w:left w:val="single" w:color="000000" w:sz="4" w:space="0"/>
              <w:bottom w:val="single" w:color="000000" w:sz="4" w:space="0"/>
              <w:right w:val="single" w:color="auto" w:sz="4" w:space="0"/>
            </w:tcBorders>
            <w:vAlign w:val="center"/>
          </w:tcPr>
          <w:p w14:paraId="4E628EEB">
            <w:pPr>
              <w:jc w:val="center"/>
              <w:rPr>
                <w:rFonts w:hint="eastAsia" w:ascii="宋体" w:hAnsi="宋体" w:eastAsia="宋体" w:cs="宋体"/>
                <w:color w:val="000000"/>
                <w:szCs w:val="21"/>
              </w:rPr>
            </w:pPr>
          </w:p>
        </w:tc>
      </w:tr>
      <w:tr w14:paraId="21CBC177">
        <w:tblPrEx>
          <w:tblCellMar>
            <w:top w:w="0" w:type="dxa"/>
            <w:left w:w="108" w:type="dxa"/>
            <w:bottom w:w="0" w:type="dxa"/>
            <w:right w:w="108" w:type="dxa"/>
          </w:tblCellMar>
        </w:tblPrEx>
        <w:trPr>
          <w:trHeight w:val="694" w:hRule="atLeast"/>
          <w:jc w:val="center"/>
        </w:trPr>
        <w:tc>
          <w:tcPr>
            <w:tcW w:w="3695" w:type="dxa"/>
            <w:gridSpan w:val="4"/>
            <w:tcBorders>
              <w:top w:val="single" w:color="000000" w:sz="4" w:space="0"/>
              <w:left w:val="single" w:color="000000" w:sz="4" w:space="0"/>
              <w:bottom w:val="single" w:color="000000" w:sz="4" w:space="0"/>
              <w:right w:val="single" w:color="000000" w:sz="4" w:space="0"/>
            </w:tcBorders>
            <w:noWrap/>
            <w:vAlign w:val="center"/>
          </w:tcPr>
          <w:p w14:paraId="5D7F5D57">
            <w:pPr>
              <w:widowControl/>
              <w:jc w:val="center"/>
              <w:textAlignment w:val="center"/>
              <w:rPr>
                <w:rFonts w:hint="eastAsia"/>
              </w:rPr>
            </w:pPr>
            <w:r>
              <w:rPr>
                <w:rFonts w:hint="eastAsia"/>
              </w:rPr>
              <w:t>到货周期（天）：</w:t>
            </w:r>
          </w:p>
        </w:tc>
        <w:tc>
          <w:tcPr>
            <w:tcW w:w="5656" w:type="dxa"/>
            <w:gridSpan w:val="4"/>
            <w:tcBorders>
              <w:top w:val="single" w:color="000000" w:sz="4" w:space="0"/>
              <w:left w:val="single" w:color="000000" w:sz="4" w:space="0"/>
              <w:bottom w:val="single" w:color="000000" w:sz="4" w:space="0"/>
              <w:right w:val="single" w:color="auto" w:sz="4" w:space="0"/>
            </w:tcBorders>
            <w:vAlign w:val="center"/>
          </w:tcPr>
          <w:p w14:paraId="7A2CBFEC">
            <w:pPr>
              <w:jc w:val="center"/>
              <w:rPr>
                <w:rFonts w:hint="eastAsia" w:ascii="宋体" w:hAnsi="宋体" w:eastAsia="宋体" w:cs="宋体"/>
                <w:color w:val="000000"/>
                <w:szCs w:val="21"/>
              </w:rPr>
            </w:pPr>
            <w:r>
              <w:rPr>
                <w:rFonts w:hint="eastAsia" w:ascii="宋体" w:hAnsi="宋体" w:eastAsia="宋体" w:cs="宋体"/>
                <w:color w:val="000000"/>
                <w:szCs w:val="21"/>
              </w:rPr>
              <w:t>货期：</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天（月饼包材需在交货前</w:t>
            </w:r>
            <w:r>
              <w:rPr>
                <w:rFonts w:ascii="宋体" w:hAnsi="宋体" w:eastAsia="宋体" w:cs="宋体"/>
                <w:color w:val="000000"/>
                <w:szCs w:val="21"/>
                <w:u w:val="single"/>
              </w:rPr>
              <w:t xml:space="preserve">   </w:t>
            </w:r>
            <w:r>
              <w:rPr>
                <w:rFonts w:ascii="宋体" w:hAnsi="宋体" w:eastAsia="宋体" w:cs="宋体"/>
                <w:color w:val="000000"/>
                <w:szCs w:val="21"/>
              </w:rPr>
              <w:t>天到达</w:t>
            </w:r>
            <w:r>
              <w:rPr>
                <w:rFonts w:hint="eastAsia" w:ascii="宋体" w:hAnsi="宋体" w:eastAsia="宋体" w:cs="宋体"/>
                <w:color w:val="000000"/>
                <w:szCs w:val="21"/>
              </w:rPr>
              <w:t>月饼供货方</w:t>
            </w:r>
            <w:r>
              <w:rPr>
                <w:rFonts w:ascii="宋体" w:hAnsi="宋体" w:eastAsia="宋体" w:cs="宋体"/>
                <w:color w:val="000000"/>
                <w:szCs w:val="21"/>
              </w:rPr>
              <w:t>）</w:t>
            </w:r>
            <w:r>
              <w:rPr>
                <w:rFonts w:hint="eastAsia" w:ascii="宋体" w:hAnsi="宋体" w:eastAsia="宋体" w:cs="宋体"/>
                <w:b/>
                <w:bCs/>
                <w:color w:val="000000"/>
                <w:szCs w:val="21"/>
              </w:rPr>
              <w:t>（货期不得超过12天）</w:t>
            </w:r>
          </w:p>
        </w:tc>
      </w:tr>
      <w:tr w14:paraId="6756857C">
        <w:tblPrEx>
          <w:tblCellMar>
            <w:top w:w="0" w:type="dxa"/>
            <w:left w:w="108" w:type="dxa"/>
            <w:bottom w:w="0" w:type="dxa"/>
            <w:right w:w="108" w:type="dxa"/>
          </w:tblCellMar>
        </w:tblPrEx>
        <w:trPr>
          <w:trHeight w:val="983" w:hRule="atLeast"/>
          <w:jc w:val="center"/>
        </w:trPr>
        <w:tc>
          <w:tcPr>
            <w:tcW w:w="3695" w:type="dxa"/>
            <w:gridSpan w:val="4"/>
            <w:tcBorders>
              <w:top w:val="single" w:color="000000" w:sz="4" w:space="0"/>
              <w:left w:val="single" w:color="000000" w:sz="4" w:space="0"/>
              <w:bottom w:val="single" w:color="000000" w:sz="4" w:space="0"/>
              <w:right w:val="single" w:color="000000" w:sz="4" w:space="0"/>
            </w:tcBorders>
            <w:noWrap/>
            <w:vAlign w:val="center"/>
          </w:tcPr>
          <w:p w14:paraId="20C9A81B">
            <w:pPr>
              <w:widowControl/>
              <w:jc w:val="center"/>
              <w:textAlignment w:val="center"/>
              <w:rPr>
                <w:rFonts w:hint="eastAsia"/>
              </w:rPr>
            </w:pPr>
            <w:r>
              <w:rPr>
                <w:rFonts w:hint="eastAsia"/>
              </w:rPr>
              <w:t>传统口味及新式口味月饼混装含税价格（元/盒,由传统口味供货方支付，</w:t>
            </w:r>
            <w:r>
              <w:rPr>
                <w:rFonts w:hint="eastAsia"/>
                <w:b/>
                <w:bCs/>
              </w:rPr>
              <w:t>限价0.5元/盒</w:t>
            </w:r>
            <w:r>
              <w:rPr>
                <w:rFonts w:hint="eastAsia"/>
              </w:rPr>
              <w:t>）</w:t>
            </w:r>
          </w:p>
        </w:tc>
        <w:tc>
          <w:tcPr>
            <w:tcW w:w="5656" w:type="dxa"/>
            <w:gridSpan w:val="4"/>
            <w:tcBorders>
              <w:top w:val="single" w:color="000000" w:sz="4" w:space="0"/>
              <w:left w:val="single" w:color="000000" w:sz="4" w:space="0"/>
              <w:bottom w:val="single" w:color="000000" w:sz="4" w:space="0"/>
              <w:right w:val="single" w:color="auto" w:sz="4" w:space="0"/>
            </w:tcBorders>
            <w:vAlign w:val="center"/>
          </w:tcPr>
          <w:p w14:paraId="7342DE49">
            <w:pPr>
              <w:jc w:val="center"/>
              <w:rPr>
                <w:rFonts w:hint="eastAsia" w:ascii="宋体" w:hAnsi="宋体" w:eastAsia="宋体" w:cs="宋体"/>
                <w:color w:val="000000"/>
                <w:szCs w:val="21"/>
                <w:u w:val="single"/>
              </w:rPr>
            </w:pP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元/盒</w:t>
            </w:r>
          </w:p>
        </w:tc>
      </w:tr>
      <w:tr w14:paraId="5ED01077">
        <w:tblPrEx>
          <w:tblCellMar>
            <w:top w:w="0" w:type="dxa"/>
            <w:left w:w="108" w:type="dxa"/>
            <w:bottom w:w="0" w:type="dxa"/>
            <w:right w:w="108" w:type="dxa"/>
          </w:tblCellMar>
        </w:tblPrEx>
        <w:trPr>
          <w:trHeight w:val="566" w:hRule="atLeast"/>
          <w:jc w:val="center"/>
        </w:trPr>
        <w:tc>
          <w:tcPr>
            <w:tcW w:w="3695" w:type="dxa"/>
            <w:gridSpan w:val="4"/>
            <w:tcBorders>
              <w:top w:val="single" w:color="000000" w:sz="4" w:space="0"/>
              <w:left w:val="single" w:color="000000" w:sz="4" w:space="0"/>
              <w:bottom w:val="single" w:color="000000" w:sz="4" w:space="0"/>
              <w:right w:val="single" w:color="000000" w:sz="4" w:space="0"/>
            </w:tcBorders>
            <w:noWrap/>
            <w:vAlign w:val="center"/>
          </w:tcPr>
          <w:p w14:paraId="7D4BE6B2">
            <w:pPr>
              <w:widowControl/>
              <w:jc w:val="center"/>
              <w:textAlignment w:val="center"/>
              <w:rPr>
                <w:rFonts w:hint="eastAsia"/>
              </w:rPr>
            </w:pPr>
            <w:r>
              <w:rPr>
                <w:rFonts w:hint="eastAsia"/>
              </w:rPr>
              <w:t>月饼赠送比例（单一口味赠送比例不低于该口味订单总量 1%，赠品均以散饼形式随货配送）</w:t>
            </w:r>
          </w:p>
        </w:tc>
        <w:tc>
          <w:tcPr>
            <w:tcW w:w="5656" w:type="dxa"/>
            <w:gridSpan w:val="4"/>
            <w:tcBorders>
              <w:top w:val="single" w:color="000000" w:sz="4" w:space="0"/>
              <w:left w:val="single" w:color="000000" w:sz="4" w:space="0"/>
              <w:bottom w:val="single" w:color="000000" w:sz="4" w:space="0"/>
              <w:right w:val="single" w:color="auto" w:sz="4" w:space="0"/>
            </w:tcBorders>
            <w:vAlign w:val="center"/>
          </w:tcPr>
          <w:p w14:paraId="63DE3625">
            <w:pPr>
              <w:jc w:val="center"/>
              <w:rPr>
                <w:rFonts w:hint="eastAsia" w:ascii="宋体" w:hAnsi="宋体" w:eastAsia="宋体" w:cs="宋体"/>
                <w:color w:val="000000"/>
                <w:szCs w:val="21"/>
              </w:rPr>
            </w:pPr>
          </w:p>
        </w:tc>
      </w:tr>
      <w:tr w14:paraId="26C645AA">
        <w:tblPrEx>
          <w:tblCellMar>
            <w:top w:w="0" w:type="dxa"/>
            <w:left w:w="108" w:type="dxa"/>
            <w:bottom w:w="0" w:type="dxa"/>
            <w:right w:w="108" w:type="dxa"/>
          </w:tblCellMar>
        </w:tblPrEx>
        <w:trPr>
          <w:trHeight w:val="348" w:hRule="atLeast"/>
          <w:jc w:val="center"/>
        </w:trPr>
        <w:tc>
          <w:tcPr>
            <w:tcW w:w="3695" w:type="dxa"/>
            <w:gridSpan w:val="4"/>
            <w:tcBorders>
              <w:top w:val="single" w:color="000000" w:sz="4" w:space="0"/>
              <w:left w:val="single" w:color="000000" w:sz="4" w:space="0"/>
              <w:bottom w:val="single" w:color="000000" w:sz="4" w:space="0"/>
              <w:right w:val="single" w:color="000000" w:sz="4" w:space="0"/>
            </w:tcBorders>
            <w:noWrap/>
            <w:vAlign w:val="center"/>
          </w:tcPr>
          <w:p w14:paraId="150FE54C">
            <w:pPr>
              <w:widowControl/>
              <w:jc w:val="center"/>
              <w:textAlignment w:val="center"/>
              <w:rPr>
                <w:rFonts w:hint="eastAsia"/>
              </w:rPr>
            </w:pPr>
            <w:r>
              <w:rPr>
                <w:rFonts w:hint="eastAsia"/>
              </w:rPr>
              <w:t>备注：</w:t>
            </w:r>
          </w:p>
        </w:tc>
        <w:tc>
          <w:tcPr>
            <w:tcW w:w="5656" w:type="dxa"/>
            <w:gridSpan w:val="4"/>
            <w:tcBorders>
              <w:top w:val="single" w:color="000000" w:sz="4" w:space="0"/>
              <w:left w:val="single" w:color="000000" w:sz="4" w:space="0"/>
              <w:bottom w:val="single" w:color="000000" w:sz="4" w:space="0"/>
              <w:right w:val="single" w:color="auto" w:sz="4" w:space="0"/>
            </w:tcBorders>
            <w:vAlign w:val="center"/>
          </w:tcPr>
          <w:p w14:paraId="1DDC4816">
            <w:pPr>
              <w:jc w:val="center"/>
              <w:rPr>
                <w:rFonts w:hint="eastAsia" w:ascii="宋体" w:hAnsi="宋体" w:eastAsia="宋体" w:cs="宋体"/>
                <w:color w:val="000000"/>
                <w:szCs w:val="21"/>
              </w:rPr>
            </w:pPr>
          </w:p>
        </w:tc>
      </w:tr>
    </w:tbl>
    <w:p w14:paraId="5638FC2C">
      <w:pPr>
        <w:spacing w:before="120" w:after="120" w:line="360" w:lineRule="auto"/>
        <w:ind w:left="-284" w:leftChars="-129" w:right="-198" w:rightChars="-90" w:firstLine="480" w:firstLineChars="200"/>
        <w:rPr>
          <w:rFonts w:hint="eastAsia" w:ascii="宋体" w:hAnsi="宋体" w:eastAsia="宋体" w:cs="Arial"/>
          <w:sz w:val="24"/>
        </w:rPr>
      </w:pPr>
      <w:r>
        <w:rPr>
          <w:rFonts w:hint="eastAsia" w:ascii="宋体" w:hAnsi="宋体" w:eastAsia="宋体" w:cs="Arial"/>
          <w:sz w:val="24"/>
        </w:rPr>
        <w:t>1.本遴选项目设最高限价中大餐饮85万元，康乐园2万元，报价超过最高限价作无效响应处理。供应商应对项目所有的标的物进行报价，不允许只对其中部分内容进行响应。</w:t>
      </w:r>
    </w:p>
    <w:p w14:paraId="632EF967">
      <w:pPr>
        <w:spacing w:before="120" w:after="120" w:line="360" w:lineRule="auto"/>
        <w:ind w:left="-284" w:leftChars="-129" w:right="-198" w:rightChars="-90" w:firstLine="480" w:firstLineChars="200"/>
        <w:rPr>
          <w:rFonts w:hint="eastAsia" w:ascii="宋体" w:hAnsi="宋体" w:eastAsia="宋体" w:cs="Arial"/>
          <w:sz w:val="24"/>
        </w:rPr>
      </w:pPr>
      <w:r>
        <w:rPr>
          <w:rFonts w:hint="eastAsia" w:ascii="宋体" w:hAnsi="宋体" w:eastAsia="宋体" w:cs="Arial"/>
          <w:sz w:val="24"/>
        </w:rPr>
        <w:t>2.</w:t>
      </w:r>
      <w:r>
        <w:rPr>
          <w:rFonts w:hint="eastAsia" w:ascii="宋体" w:hAnsi="宋体" w:eastAsia="宋体" w:cs="Arial"/>
          <w:sz w:val="24"/>
        </w:rPr>
        <w:tab/>
      </w:r>
      <w:r>
        <w:rPr>
          <w:rFonts w:hint="eastAsia" w:ascii="宋体" w:hAnsi="宋体" w:eastAsia="宋体" w:cs="Arial"/>
          <w:sz w:val="24"/>
        </w:rPr>
        <w:t>本项目报价不接受低于成本的报价，如参选报价低于最高限价50%的，则供应商需要提供《成本分析说明》及相关证明材料，如遴选小组认为该《成本分析说明》不合理或解析不充分的，则有权否决该供应商的报价。</w:t>
      </w:r>
    </w:p>
    <w:p w14:paraId="1C22C0F5">
      <w:pPr>
        <w:spacing w:before="120" w:after="120" w:line="360" w:lineRule="auto"/>
        <w:ind w:left="-284" w:leftChars="-129" w:right="-198" w:rightChars="-90" w:firstLine="480" w:firstLineChars="200"/>
        <w:rPr>
          <w:rFonts w:hint="eastAsia" w:ascii="宋体" w:hAnsi="宋体" w:eastAsia="宋体" w:cs="Arial"/>
          <w:sz w:val="24"/>
        </w:rPr>
      </w:pPr>
      <w:r>
        <w:rPr>
          <w:rFonts w:hint="eastAsia" w:ascii="宋体" w:hAnsi="宋体" w:eastAsia="宋体" w:cs="Arial"/>
          <w:sz w:val="24"/>
        </w:rPr>
        <w:t>3.</w:t>
      </w:r>
      <w:r>
        <w:rPr>
          <w:rFonts w:hint="eastAsia"/>
        </w:rPr>
        <w:t xml:space="preserve"> </w:t>
      </w:r>
      <w:r>
        <w:rPr>
          <w:rFonts w:ascii="宋体" w:hAnsi="宋体" w:eastAsia="宋体" w:cs="Arial"/>
          <w:sz w:val="24"/>
        </w:rPr>
        <w:t>本项目包装形式：各月饼单个独立包装（月饼底托+卷膜）；</w:t>
      </w:r>
      <w:r>
        <w:rPr>
          <w:rFonts w:ascii="宋体" w:hAnsi="宋体" w:eastAsia="宋体" w:cs="Arial"/>
          <w:b/>
          <w:bCs/>
          <w:sz w:val="24"/>
        </w:rPr>
        <w:t>60克月饼内托外径不得超过70mm。</w:t>
      </w:r>
    </w:p>
    <w:p w14:paraId="7C5136FD">
      <w:pPr>
        <w:spacing w:before="120" w:after="120" w:line="360" w:lineRule="auto"/>
        <w:ind w:left="-284" w:leftChars="-129" w:right="-198" w:rightChars="-90" w:firstLine="480" w:firstLineChars="200"/>
        <w:rPr>
          <w:rFonts w:hint="eastAsia" w:ascii="宋体" w:hAnsi="宋体" w:eastAsia="宋体" w:cs="Arial"/>
          <w:b/>
          <w:bCs/>
          <w:sz w:val="24"/>
        </w:rPr>
      </w:pPr>
      <w:r>
        <w:rPr>
          <w:rFonts w:hint="eastAsia" w:ascii="宋体" w:hAnsi="宋体" w:eastAsia="宋体" w:cs="Arial"/>
          <w:sz w:val="24"/>
        </w:rPr>
        <w:t>4.报价包含但不限于月饼开模（按照参选人设计图开模）、制作加工、包装（含脱氧剂、干燥剂、独立包装饼托、卷膜等费用）采购、组装（</w:t>
      </w:r>
      <w:r>
        <w:rPr>
          <w:rFonts w:hint="eastAsia" w:ascii="宋体" w:hAnsi="宋体" w:eastAsia="宋体" w:cs="Arial"/>
          <w:b/>
          <w:bCs/>
          <w:sz w:val="24"/>
        </w:rPr>
        <w:t>预计组装礼盒数量：</w:t>
      </w:r>
      <w:r>
        <w:rPr>
          <w:rFonts w:ascii="宋体" w:hAnsi="宋体" w:eastAsia="宋体" w:cs="Arial"/>
          <w:b/>
          <w:bCs/>
          <w:sz w:val="24"/>
        </w:rPr>
        <w:t>礼盒四：逸仙皓月礼盒（大师手制系列）（传统口味及新式口味5个装）中大餐饮约6000盒、康乐园约</w:t>
      </w:r>
      <w:r>
        <w:rPr>
          <w:rFonts w:hint="eastAsia" w:ascii="宋体" w:hAnsi="宋体" w:eastAsia="宋体" w:cs="Arial"/>
          <w:b/>
          <w:bCs/>
          <w:sz w:val="24"/>
        </w:rPr>
        <w:t>180</w:t>
      </w:r>
      <w:r>
        <w:rPr>
          <w:rFonts w:ascii="宋体" w:hAnsi="宋体" w:eastAsia="宋体" w:cs="Arial"/>
          <w:b/>
          <w:bCs/>
          <w:sz w:val="24"/>
        </w:rPr>
        <w:t>盒，由新式口味供应商负责组装，组装费用由传统口味月饼供货方支付给新式口味供货方</w:t>
      </w:r>
      <w:r>
        <w:rPr>
          <w:rFonts w:hint="eastAsia" w:ascii="宋体" w:hAnsi="宋体" w:eastAsia="宋体" w:cs="Arial"/>
          <w:b/>
          <w:bCs/>
          <w:sz w:val="24"/>
        </w:rPr>
        <w:t>，组装费不超过</w:t>
      </w:r>
      <w:r>
        <w:rPr>
          <w:rFonts w:ascii="宋体" w:hAnsi="宋体" w:eastAsia="宋体" w:cs="Arial"/>
          <w:b/>
          <w:bCs/>
          <w:sz w:val="24"/>
        </w:rPr>
        <w:t>0.5元/盒</w:t>
      </w:r>
      <w:r>
        <w:rPr>
          <w:rFonts w:hint="eastAsia" w:ascii="宋体" w:hAnsi="宋体" w:eastAsia="宋体" w:cs="Arial"/>
          <w:b/>
          <w:bCs/>
          <w:sz w:val="24"/>
        </w:rPr>
        <w:t>；礼盒五：</w:t>
      </w:r>
      <w:r>
        <w:rPr>
          <w:rFonts w:ascii="宋体" w:hAnsi="宋体" w:eastAsia="宋体" w:cs="Arial"/>
          <w:b/>
          <w:bCs/>
          <w:sz w:val="24"/>
        </w:rPr>
        <w:t>山高水长礼盒（新式口味8个装）中大餐饮约8000盒、康乐园约</w:t>
      </w:r>
      <w:r>
        <w:rPr>
          <w:rFonts w:hint="eastAsia" w:ascii="宋体" w:hAnsi="宋体" w:eastAsia="宋体" w:cs="Arial"/>
          <w:b/>
          <w:bCs/>
          <w:sz w:val="24"/>
        </w:rPr>
        <w:t>120</w:t>
      </w:r>
      <w:r>
        <w:rPr>
          <w:rFonts w:ascii="宋体" w:hAnsi="宋体" w:eastAsia="宋体" w:cs="Arial"/>
          <w:b/>
          <w:bCs/>
          <w:sz w:val="24"/>
        </w:rPr>
        <w:t>盒</w:t>
      </w:r>
      <w:r>
        <w:rPr>
          <w:rFonts w:hint="eastAsia" w:ascii="宋体" w:hAnsi="宋体" w:eastAsia="宋体" w:cs="Arial"/>
          <w:b/>
          <w:bCs/>
          <w:sz w:val="24"/>
        </w:rPr>
        <w:t>；礼盒六：</w:t>
      </w:r>
      <w:r>
        <w:rPr>
          <w:rFonts w:ascii="宋体" w:hAnsi="宋体" w:eastAsia="宋体" w:cs="Arial"/>
          <w:b/>
          <w:bCs/>
          <w:sz w:val="24"/>
        </w:rPr>
        <w:t>笃行望月礼盒</w:t>
      </w:r>
      <w:r>
        <w:rPr>
          <w:rFonts w:hint="eastAsia" w:ascii="宋体" w:hAnsi="宋体" w:eastAsia="宋体" w:cs="Arial"/>
          <w:b/>
          <w:bCs/>
          <w:sz w:val="24"/>
        </w:rPr>
        <w:t>（新式口味8个装）中大餐饮约8000盒、康乐园约120盒；单饼18000盒</w:t>
      </w:r>
      <w:r>
        <w:rPr>
          <w:rFonts w:hint="eastAsia" w:ascii="宋体" w:hAnsi="宋体" w:eastAsia="宋体" w:cs="Arial"/>
          <w:sz w:val="24"/>
        </w:rPr>
        <w:t>）、运输（含送货至甲方指定收货地点的运输费、装卸费、搬运费）、损耗、保管、装卸车、配合、协调、检测、办理相关手续、保险、多次搬运、差旅费用、抽检、管理、利润、税金、人工等乙方完成合同约定义务所需的一切费用。</w:t>
      </w:r>
    </w:p>
    <w:p w14:paraId="669FCA43">
      <w:pPr>
        <w:spacing w:before="120" w:after="120" w:line="360" w:lineRule="auto"/>
        <w:ind w:left="-284" w:leftChars="-129" w:right="-198" w:rightChars="-90" w:firstLine="480" w:firstLineChars="200"/>
        <w:rPr>
          <w:rFonts w:hint="eastAsia" w:ascii="宋体" w:hAnsi="宋体" w:eastAsia="宋体" w:cs="Arial"/>
          <w:sz w:val="24"/>
        </w:rPr>
      </w:pPr>
      <w:r>
        <w:rPr>
          <w:rFonts w:hint="eastAsia" w:ascii="宋体" w:hAnsi="宋体" w:eastAsia="宋体" w:cs="Arial"/>
          <w:sz w:val="24"/>
        </w:rPr>
        <w:t>5.报价包含根据实际订单配送的月饼套数，提供公版刀叉含证件（厂家营业执照、生产许可证、第三方检测报告、批次报告）。</w:t>
      </w:r>
    </w:p>
    <w:p w14:paraId="1B1F59BD">
      <w:pPr>
        <w:spacing w:before="120" w:after="120" w:line="360" w:lineRule="auto"/>
        <w:ind w:left="-284" w:leftChars="-129" w:right="-198" w:rightChars="-90" w:firstLine="480" w:firstLineChars="200"/>
        <w:rPr>
          <w:rFonts w:hint="eastAsia" w:ascii="宋体" w:hAnsi="宋体" w:eastAsia="宋体" w:cs="Arial"/>
          <w:sz w:val="24"/>
        </w:rPr>
      </w:pPr>
      <w:r>
        <w:rPr>
          <w:rFonts w:hint="eastAsia" w:ascii="宋体" w:hAnsi="宋体" w:eastAsia="宋体" w:cs="Arial"/>
          <w:sz w:val="24"/>
        </w:rPr>
        <w:t>6.报价清单数量为预估数量，具体数量以实际订单为准，结算按实际订单数量的月饼的价格总和计算。</w:t>
      </w:r>
    </w:p>
    <w:p w14:paraId="1CC262A2">
      <w:pPr>
        <w:spacing w:before="120" w:after="120" w:line="360" w:lineRule="auto"/>
        <w:ind w:left="-284" w:leftChars="-129" w:right="-198" w:rightChars="-90" w:firstLine="480" w:firstLineChars="200"/>
        <w:jc w:val="right"/>
        <w:rPr>
          <w:rFonts w:hint="eastAsia" w:ascii="宋体" w:hAnsi="宋体" w:eastAsia="宋体"/>
          <w:sz w:val="24"/>
        </w:rPr>
      </w:pPr>
      <w:r>
        <w:rPr>
          <w:rFonts w:ascii="宋体" w:hAnsi="宋体" w:eastAsia="宋体" w:cs="Arial"/>
          <w:sz w:val="24"/>
        </w:rPr>
        <w:t>供应商（加盖公章）：________________________</w:t>
      </w:r>
    </w:p>
    <w:p w14:paraId="684E9274">
      <w:pPr>
        <w:spacing w:before="120" w:after="120" w:line="360" w:lineRule="auto"/>
        <w:ind w:left="-284" w:leftChars="-129" w:right="-198" w:rightChars="-90" w:firstLine="3600" w:firstLineChars="1500"/>
        <w:rPr>
          <w:rFonts w:hint="eastAsia" w:ascii="宋体" w:hAnsi="宋体" w:eastAsia="宋体" w:cs="Arial"/>
          <w:sz w:val="24"/>
        </w:rPr>
      </w:pPr>
      <w:r>
        <w:rPr>
          <w:rFonts w:ascii="宋体" w:hAnsi="宋体" w:eastAsia="宋体" w:cs="Arial"/>
          <w:sz w:val="24"/>
        </w:rPr>
        <w:t>日    期：____年____月____日</w:t>
      </w:r>
    </w:p>
    <w:sectPr>
      <w:headerReference r:id="rId6" w:type="default"/>
      <w:pgSz w:w="11905" w:h="16840"/>
      <w:pgMar w:top="1440" w:right="1800" w:bottom="1440" w:left="180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72067381"/>
    </w:sdtPr>
    <w:sdtContent>
      <w:sdt>
        <w:sdtPr>
          <w:id w:val="1728636285"/>
        </w:sdtPr>
        <w:sdtContent>
          <w:p w14:paraId="74FDD120">
            <w:pPr>
              <w:pStyle w:val="4"/>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lang w:val="zh-CN"/>
              </w:rPr>
              <w:t>2</w:t>
            </w:r>
            <w:r>
              <w:rPr>
                <w:b/>
                <w:bCs/>
                <w:sz w:val="24"/>
                <w:szCs w:val="24"/>
              </w:rPr>
              <w:fldChar w:fldCharType="end"/>
            </w:r>
          </w:p>
        </w:sdtContent>
      </w:sdt>
    </w:sdtContent>
  </w:sdt>
  <w:p w14:paraId="484CBC46">
    <w:pPr>
      <w:pStyle w:val="4"/>
      <w:tabs>
        <w:tab w:val="center" w:pos="4320"/>
        <w:tab w:val="right" w:pos="8640"/>
        <w:tab w:val="clear" w:pos="4153"/>
        <w:tab w:val="clear" w:pos="8306"/>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5C162C">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5717CD6"/>
    <w:multiLevelType w:val="singleLevel"/>
    <w:tmpl w:val="F5717CD6"/>
    <w:lvl w:ilvl="0" w:tentative="0">
      <w:start w:val="1"/>
      <w:numFmt w:val="decimal"/>
      <w:suff w:val="nothing"/>
      <w:lvlText w:val="%1．"/>
      <w:lvlJc w:val="left"/>
      <w:pPr>
        <w:ind w:left="0" w:firstLine="400"/>
      </w:pPr>
      <w:rPr>
        <w:rFonts w:hint="default"/>
        <w:b w:val="0"/>
        <w:bCs w:val="0"/>
      </w:rPr>
    </w:lvl>
  </w:abstractNum>
  <w:abstractNum w:abstractNumId="1">
    <w:nsid w:val="031A277A"/>
    <w:multiLevelType w:val="multilevel"/>
    <w:tmpl w:val="031A277A"/>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0A5926A7"/>
    <w:multiLevelType w:val="multilevel"/>
    <w:tmpl w:val="0A5926A7"/>
    <w:lvl w:ilvl="0" w:tentative="0">
      <w:start w:val="1"/>
      <w:numFmt w:val="japaneseCounting"/>
      <w:lvlText w:val="%1、"/>
      <w:lvlJc w:val="left"/>
      <w:pPr>
        <w:ind w:left="510" w:hanging="510"/>
      </w:pPr>
      <w:rPr>
        <w:rFonts w:hint="default" w:cs="Arial"/>
        <w:b/>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
    <w:nsid w:val="0B6002FA"/>
    <w:multiLevelType w:val="multilevel"/>
    <w:tmpl w:val="0B6002FA"/>
    <w:lvl w:ilvl="0" w:tentative="0">
      <w:start w:val="1"/>
      <w:numFmt w:val="decimal"/>
      <w:lvlText w:val="%1."/>
      <w:lvlJc w:val="left"/>
      <w:rPr>
        <w:color w:val="auto"/>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
    <w:nsid w:val="0D1B7009"/>
    <w:multiLevelType w:val="multilevel"/>
    <w:tmpl w:val="0D1B7009"/>
    <w:lvl w:ilvl="0" w:tentative="0">
      <w:start w:val="1"/>
      <w:numFmt w:val="decimal"/>
      <w:lvlText w:val="%1."/>
      <w:lvlJc w:val="left"/>
      <w:rPr>
        <w:color w:val="auto"/>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
    <w:nsid w:val="0D7C0487"/>
    <w:multiLevelType w:val="multilevel"/>
    <w:tmpl w:val="0D7C0487"/>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6">
    <w:nsid w:val="0EAABB7C"/>
    <w:multiLevelType w:val="singleLevel"/>
    <w:tmpl w:val="0EAABB7C"/>
    <w:lvl w:ilvl="0" w:tentative="0">
      <w:start w:val="1"/>
      <w:numFmt w:val="decimal"/>
      <w:lvlText w:val="%1."/>
      <w:lvlJc w:val="left"/>
      <w:pPr>
        <w:tabs>
          <w:tab w:val="left" w:pos="312"/>
        </w:tabs>
      </w:pPr>
    </w:lvl>
  </w:abstractNum>
  <w:abstractNum w:abstractNumId="7">
    <w:nsid w:val="13246F0A"/>
    <w:multiLevelType w:val="multilevel"/>
    <w:tmpl w:val="13246F0A"/>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8">
    <w:nsid w:val="1B9F57D4"/>
    <w:multiLevelType w:val="multilevel"/>
    <w:tmpl w:val="1B9F57D4"/>
    <w:lvl w:ilvl="0" w:tentative="0">
      <w:start w:val="1"/>
      <w:numFmt w:val="decimal"/>
      <w:lvlText w:val="%1."/>
      <w:lvlJc w:val="left"/>
      <w:rPr>
        <w:color w:val="auto"/>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
    <w:nsid w:val="2FF62101"/>
    <w:multiLevelType w:val="multilevel"/>
    <w:tmpl w:val="2FF62101"/>
    <w:lvl w:ilvl="0" w:tentative="0">
      <w:start w:val="1"/>
      <w:numFmt w:val="decimal"/>
      <w:lvlText w:val="%1."/>
      <w:lvlJc w:val="left"/>
      <w:rPr>
        <w:color w:val="auto"/>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
    <w:nsid w:val="31CB6847"/>
    <w:multiLevelType w:val="multilevel"/>
    <w:tmpl w:val="31CB6847"/>
    <w:lvl w:ilvl="0" w:tentative="0">
      <w:start w:val="1"/>
      <w:numFmt w:val="decimal"/>
      <w:lvlText w:val="%1."/>
      <w:lvlJc w:val="left"/>
      <w:rPr>
        <w:color w:val="auto"/>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
    <w:nsid w:val="3BFF5699"/>
    <w:multiLevelType w:val="multilevel"/>
    <w:tmpl w:val="3BFF5699"/>
    <w:lvl w:ilvl="0" w:tentative="0">
      <w:start w:val="1"/>
      <w:numFmt w:val="decimal"/>
      <w:lvlText w:val="%1."/>
      <w:lvlJc w:val="left"/>
      <w:rPr>
        <w:color w:val="auto"/>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
    <w:nsid w:val="46ED3999"/>
    <w:multiLevelType w:val="multilevel"/>
    <w:tmpl w:val="46ED3999"/>
    <w:lvl w:ilvl="0" w:tentative="0">
      <w:start w:val="1"/>
      <w:numFmt w:val="decimal"/>
      <w:lvlText w:val="%1."/>
      <w:lvlJc w:val="left"/>
      <w:rPr>
        <w:color w:val="auto"/>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
    <w:nsid w:val="54B97FB0"/>
    <w:multiLevelType w:val="multilevel"/>
    <w:tmpl w:val="54B97FB0"/>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582F5BD8"/>
    <w:multiLevelType w:val="multilevel"/>
    <w:tmpl w:val="582F5BD8"/>
    <w:lvl w:ilvl="0" w:tentative="0">
      <w:start w:val="1"/>
      <w:numFmt w:val="decimal"/>
      <w:lvlText w:val="%1."/>
      <w:lvlJc w:val="left"/>
      <w:rPr>
        <w:color w:val="auto"/>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
    <w:nsid w:val="5B44130F"/>
    <w:multiLevelType w:val="multilevel"/>
    <w:tmpl w:val="5B44130F"/>
    <w:lvl w:ilvl="0" w:tentative="0">
      <w:start w:val="1"/>
      <w:numFmt w:val="decimal"/>
      <w:lvlText w:val="%1."/>
      <w:lvlJc w:val="left"/>
      <w:rPr>
        <w:b w:val="0"/>
        <w:bCs/>
        <w:color w:val="000000" w:themeColor="text1"/>
        <w14:textFill>
          <w14:solidFill>
            <w14:schemeClr w14:val="tx1"/>
          </w14:solidFill>
        </w14:textFil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
    <w:nsid w:val="5EE961D1"/>
    <w:multiLevelType w:val="multilevel"/>
    <w:tmpl w:val="5EE961D1"/>
    <w:lvl w:ilvl="0" w:tentative="0">
      <w:start w:val="1"/>
      <w:numFmt w:val="decimal"/>
      <w:lvlText w:val="%1."/>
      <w:lvlJc w:val="left"/>
      <w:rPr>
        <w:b w:val="0"/>
        <w:bCs/>
        <w:color w:val="auto"/>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
    <w:nsid w:val="5F24431C"/>
    <w:multiLevelType w:val="multilevel"/>
    <w:tmpl w:val="5F24431C"/>
    <w:lvl w:ilvl="0" w:tentative="0">
      <w:start w:val="1"/>
      <w:numFmt w:val="decimal"/>
      <w:lvlText w:val="%1."/>
      <w:lvlJc w:val="left"/>
      <w:rPr>
        <w:color w:val="000000" w:themeColor="text1"/>
        <w14:textFill>
          <w14:solidFill>
            <w14:schemeClr w14:val="tx1"/>
          </w14:solidFill>
        </w14:textFil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
    <w:nsid w:val="64E738B3"/>
    <w:multiLevelType w:val="multilevel"/>
    <w:tmpl w:val="64E738B3"/>
    <w:lvl w:ilvl="0" w:tentative="0">
      <w:start w:val="1"/>
      <w:numFmt w:val="decimal"/>
      <w:lvlText w:val="%1."/>
      <w:lvlJc w:val="left"/>
      <w:rPr>
        <w:color w:val="000000" w:themeColor="text1"/>
        <w14:textFill>
          <w14:solidFill>
            <w14:schemeClr w14:val="tx1"/>
          </w14:solidFill>
        </w14:textFil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
    <w:nsid w:val="6E4F2EA1"/>
    <w:multiLevelType w:val="multilevel"/>
    <w:tmpl w:val="6E4F2EA1"/>
    <w:lvl w:ilvl="0" w:tentative="0">
      <w:start w:val="1"/>
      <w:numFmt w:val="japaneseCounting"/>
      <w:lvlText w:val="%1、"/>
      <w:lvlJc w:val="left"/>
      <w:pPr>
        <w:ind w:left="510" w:hanging="510"/>
      </w:pPr>
      <w:rPr>
        <w:rFonts w:hint="default" w:cs="Arial"/>
        <w:b/>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0">
    <w:nsid w:val="6E88337A"/>
    <w:multiLevelType w:val="multilevel"/>
    <w:tmpl w:val="6E88337A"/>
    <w:lvl w:ilvl="0" w:tentative="0">
      <w:start w:val="1"/>
      <w:numFmt w:val="decimal"/>
      <w:lvlText w:val="%1."/>
      <w:lvlJc w:val="left"/>
      <w:rPr>
        <w:color w:val="auto"/>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1">
    <w:nsid w:val="6EE64B7D"/>
    <w:multiLevelType w:val="multilevel"/>
    <w:tmpl w:val="6EE64B7D"/>
    <w:lvl w:ilvl="0" w:tentative="0">
      <w:start w:val="1"/>
      <w:numFmt w:val="japaneseCounting"/>
      <w:lvlText w:val="%1、"/>
      <w:lvlJc w:val="left"/>
      <w:pPr>
        <w:ind w:left="510" w:hanging="510"/>
      </w:pPr>
      <w:rPr>
        <w:rFonts w:hint="default" w:cs="Arial"/>
        <w:b/>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2">
    <w:nsid w:val="6F0B440F"/>
    <w:multiLevelType w:val="multilevel"/>
    <w:tmpl w:val="6F0B440F"/>
    <w:lvl w:ilvl="0" w:tentative="0">
      <w:start w:val="1"/>
      <w:numFmt w:val="japaneseCounting"/>
      <w:lvlText w:val="%1、"/>
      <w:lvlJc w:val="left"/>
      <w:pPr>
        <w:ind w:left="510" w:hanging="510"/>
      </w:pPr>
      <w:rPr>
        <w:rFonts w:hint="default" w:cs="Arial"/>
        <w:b/>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3">
    <w:nsid w:val="7A4A423B"/>
    <w:multiLevelType w:val="multilevel"/>
    <w:tmpl w:val="7A4A423B"/>
    <w:lvl w:ilvl="0" w:tentative="0">
      <w:start w:val="1"/>
      <w:numFmt w:val="decimal"/>
      <w:lvlText w:val="%1."/>
      <w:lvlJc w:val="left"/>
      <w:rPr>
        <w:color w:val="auto"/>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4">
    <w:nsid w:val="7B9A13B1"/>
    <w:multiLevelType w:val="multilevel"/>
    <w:tmpl w:val="7B9A13B1"/>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5">
    <w:nsid w:val="7EBD78EA"/>
    <w:multiLevelType w:val="multilevel"/>
    <w:tmpl w:val="7EBD78EA"/>
    <w:lvl w:ilvl="0" w:tentative="0">
      <w:start w:val="1"/>
      <w:numFmt w:val="decimal"/>
      <w:lvlText w:val="%1."/>
      <w:lvlJc w:val="left"/>
      <w:rPr>
        <w:color w:val="auto"/>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22"/>
  </w:num>
  <w:num w:numId="2">
    <w:abstractNumId w:val="15"/>
  </w:num>
  <w:num w:numId="3">
    <w:abstractNumId w:val="1"/>
  </w:num>
  <w:num w:numId="4">
    <w:abstractNumId w:val="18"/>
  </w:num>
  <w:num w:numId="5">
    <w:abstractNumId w:val="3"/>
  </w:num>
  <w:num w:numId="6">
    <w:abstractNumId w:val="24"/>
  </w:num>
  <w:num w:numId="7">
    <w:abstractNumId w:val="17"/>
  </w:num>
  <w:num w:numId="8">
    <w:abstractNumId w:val="21"/>
  </w:num>
  <w:num w:numId="9">
    <w:abstractNumId w:val="20"/>
  </w:num>
  <w:num w:numId="10">
    <w:abstractNumId w:val="16"/>
  </w:num>
  <w:num w:numId="11">
    <w:abstractNumId w:val="5"/>
  </w:num>
  <w:num w:numId="12">
    <w:abstractNumId w:val="14"/>
  </w:num>
  <w:num w:numId="13">
    <w:abstractNumId w:val="8"/>
  </w:num>
  <w:num w:numId="14">
    <w:abstractNumId w:val="10"/>
  </w:num>
  <w:num w:numId="15">
    <w:abstractNumId w:val="19"/>
  </w:num>
  <w:num w:numId="16">
    <w:abstractNumId w:val="4"/>
  </w:num>
  <w:num w:numId="17">
    <w:abstractNumId w:val="9"/>
  </w:num>
  <w:num w:numId="18">
    <w:abstractNumId w:val="11"/>
  </w:num>
  <w:num w:numId="19">
    <w:abstractNumId w:val="2"/>
  </w:num>
  <w:num w:numId="20">
    <w:abstractNumId w:val="6"/>
  </w:num>
  <w:num w:numId="21">
    <w:abstractNumId w:val="25"/>
  </w:num>
  <w:num w:numId="22">
    <w:abstractNumId w:val="12"/>
  </w:num>
  <w:num w:numId="23">
    <w:abstractNumId w:val="7"/>
  </w:num>
  <w:num w:numId="24">
    <w:abstractNumId w:val="0"/>
  </w:num>
  <w:num w:numId="25">
    <w:abstractNumId w:val="13"/>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noPunctuationKerning w:val="1"/>
  <w:characterSpacingControl w:val="doNotCompress"/>
  <w:footnotePr>
    <w:footnote w:id="0"/>
    <w:footnote w:id="1"/>
  </w:footnotePr>
  <w:endnotePr>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1D9"/>
    <w:rsid w:val="00000FE2"/>
    <w:rsid w:val="00012FC2"/>
    <w:rsid w:val="00021FA4"/>
    <w:rsid w:val="0003098F"/>
    <w:rsid w:val="000334F6"/>
    <w:rsid w:val="0003693D"/>
    <w:rsid w:val="000429DB"/>
    <w:rsid w:val="00056671"/>
    <w:rsid w:val="000602BF"/>
    <w:rsid w:val="00080723"/>
    <w:rsid w:val="000820FE"/>
    <w:rsid w:val="00086E71"/>
    <w:rsid w:val="00092380"/>
    <w:rsid w:val="0009743F"/>
    <w:rsid w:val="000B4B95"/>
    <w:rsid w:val="000C3E3E"/>
    <w:rsid w:val="000E2CAC"/>
    <w:rsid w:val="000E4C30"/>
    <w:rsid w:val="000F1006"/>
    <w:rsid w:val="000F1DD2"/>
    <w:rsid w:val="000F39C7"/>
    <w:rsid w:val="000F39DD"/>
    <w:rsid w:val="000F63EE"/>
    <w:rsid w:val="00105880"/>
    <w:rsid w:val="001063E4"/>
    <w:rsid w:val="00110772"/>
    <w:rsid w:val="0012090E"/>
    <w:rsid w:val="001317F3"/>
    <w:rsid w:val="001423B5"/>
    <w:rsid w:val="00163EF8"/>
    <w:rsid w:val="00177B60"/>
    <w:rsid w:val="0018338F"/>
    <w:rsid w:val="001A4EA9"/>
    <w:rsid w:val="001A758E"/>
    <w:rsid w:val="001A7AD4"/>
    <w:rsid w:val="001B7D57"/>
    <w:rsid w:val="001B7E85"/>
    <w:rsid w:val="001C5FA6"/>
    <w:rsid w:val="001D6D64"/>
    <w:rsid w:val="001F7A57"/>
    <w:rsid w:val="00206AC6"/>
    <w:rsid w:val="00212363"/>
    <w:rsid w:val="00213667"/>
    <w:rsid w:val="002148BC"/>
    <w:rsid w:val="00215AC3"/>
    <w:rsid w:val="00215B1B"/>
    <w:rsid w:val="002205E7"/>
    <w:rsid w:val="002230C4"/>
    <w:rsid w:val="0022461A"/>
    <w:rsid w:val="00252CFB"/>
    <w:rsid w:val="00263163"/>
    <w:rsid w:val="00266D11"/>
    <w:rsid w:val="0027259D"/>
    <w:rsid w:val="002800A2"/>
    <w:rsid w:val="002902A1"/>
    <w:rsid w:val="002A2BBA"/>
    <w:rsid w:val="002B0E06"/>
    <w:rsid w:val="002B3101"/>
    <w:rsid w:val="002C4F90"/>
    <w:rsid w:val="002C761E"/>
    <w:rsid w:val="002D5A6C"/>
    <w:rsid w:val="002E18FD"/>
    <w:rsid w:val="002E2B85"/>
    <w:rsid w:val="00302EC6"/>
    <w:rsid w:val="0031022E"/>
    <w:rsid w:val="00320DD7"/>
    <w:rsid w:val="00322221"/>
    <w:rsid w:val="0032463E"/>
    <w:rsid w:val="00334A4B"/>
    <w:rsid w:val="0033693A"/>
    <w:rsid w:val="0035066C"/>
    <w:rsid w:val="00365E67"/>
    <w:rsid w:val="00371558"/>
    <w:rsid w:val="00392485"/>
    <w:rsid w:val="003931D8"/>
    <w:rsid w:val="003A3589"/>
    <w:rsid w:val="003A7D23"/>
    <w:rsid w:val="003C1400"/>
    <w:rsid w:val="003C20ED"/>
    <w:rsid w:val="003D1265"/>
    <w:rsid w:val="003E1362"/>
    <w:rsid w:val="003E1558"/>
    <w:rsid w:val="003E6977"/>
    <w:rsid w:val="00407F76"/>
    <w:rsid w:val="00413529"/>
    <w:rsid w:val="00413615"/>
    <w:rsid w:val="00422712"/>
    <w:rsid w:val="004235B5"/>
    <w:rsid w:val="00425B97"/>
    <w:rsid w:val="00426D2A"/>
    <w:rsid w:val="004272F4"/>
    <w:rsid w:val="0044045F"/>
    <w:rsid w:val="0045447A"/>
    <w:rsid w:val="00456BF4"/>
    <w:rsid w:val="00464421"/>
    <w:rsid w:val="00467EE3"/>
    <w:rsid w:val="004876E8"/>
    <w:rsid w:val="004A1A5A"/>
    <w:rsid w:val="004A3CDD"/>
    <w:rsid w:val="004A41BB"/>
    <w:rsid w:val="004D544C"/>
    <w:rsid w:val="004E136B"/>
    <w:rsid w:val="004E2255"/>
    <w:rsid w:val="004E328B"/>
    <w:rsid w:val="004E70B3"/>
    <w:rsid w:val="004F3170"/>
    <w:rsid w:val="004F776C"/>
    <w:rsid w:val="005077A9"/>
    <w:rsid w:val="005141A8"/>
    <w:rsid w:val="00514321"/>
    <w:rsid w:val="0052649D"/>
    <w:rsid w:val="005311D9"/>
    <w:rsid w:val="005440AC"/>
    <w:rsid w:val="0056526D"/>
    <w:rsid w:val="00590898"/>
    <w:rsid w:val="00595959"/>
    <w:rsid w:val="005B0F2F"/>
    <w:rsid w:val="005B593A"/>
    <w:rsid w:val="005C2E8F"/>
    <w:rsid w:val="005C47CF"/>
    <w:rsid w:val="005D5949"/>
    <w:rsid w:val="005F055F"/>
    <w:rsid w:val="00601359"/>
    <w:rsid w:val="006273ED"/>
    <w:rsid w:val="00634362"/>
    <w:rsid w:val="00645A5A"/>
    <w:rsid w:val="00657911"/>
    <w:rsid w:val="00664A56"/>
    <w:rsid w:val="00665DB9"/>
    <w:rsid w:val="00670D58"/>
    <w:rsid w:val="00671DB3"/>
    <w:rsid w:val="00672996"/>
    <w:rsid w:val="006878E3"/>
    <w:rsid w:val="00696BE3"/>
    <w:rsid w:val="006A2528"/>
    <w:rsid w:val="006A283C"/>
    <w:rsid w:val="006A6807"/>
    <w:rsid w:val="006A7DB0"/>
    <w:rsid w:val="006B03CB"/>
    <w:rsid w:val="006B715B"/>
    <w:rsid w:val="006C0844"/>
    <w:rsid w:val="006C48A1"/>
    <w:rsid w:val="006E5448"/>
    <w:rsid w:val="006E711F"/>
    <w:rsid w:val="00703CB1"/>
    <w:rsid w:val="00704416"/>
    <w:rsid w:val="00720346"/>
    <w:rsid w:val="007368C7"/>
    <w:rsid w:val="00746AF3"/>
    <w:rsid w:val="00764B76"/>
    <w:rsid w:val="00765574"/>
    <w:rsid w:val="0077194E"/>
    <w:rsid w:val="007757A8"/>
    <w:rsid w:val="00786295"/>
    <w:rsid w:val="00791743"/>
    <w:rsid w:val="00793E7F"/>
    <w:rsid w:val="007940EA"/>
    <w:rsid w:val="007A0441"/>
    <w:rsid w:val="007A0DF5"/>
    <w:rsid w:val="007B7757"/>
    <w:rsid w:val="007C2DAF"/>
    <w:rsid w:val="007E1166"/>
    <w:rsid w:val="007E6BC0"/>
    <w:rsid w:val="007F0921"/>
    <w:rsid w:val="00800108"/>
    <w:rsid w:val="0080354D"/>
    <w:rsid w:val="00834880"/>
    <w:rsid w:val="008428A2"/>
    <w:rsid w:val="00860A12"/>
    <w:rsid w:val="00873D51"/>
    <w:rsid w:val="008818D2"/>
    <w:rsid w:val="00886703"/>
    <w:rsid w:val="008958AE"/>
    <w:rsid w:val="008B2F52"/>
    <w:rsid w:val="008B6478"/>
    <w:rsid w:val="008C5C7A"/>
    <w:rsid w:val="008C66E8"/>
    <w:rsid w:val="008C6E51"/>
    <w:rsid w:val="008C713F"/>
    <w:rsid w:val="008D0E5E"/>
    <w:rsid w:val="008E679E"/>
    <w:rsid w:val="008E770F"/>
    <w:rsid w:val="00901A5C"/>
    <w:rsid w:val="009057A9"/>
    <w:rsid w:val="00917F1D"/>
    <w:rsid w:val="00923BC2"/>
    <w:rsid w:val="00926149"/>
    <w:rsid w:val="00926F0E"/>
    <w:rsid w:val="00934B6B"/>
    <w:rsid w:val="00936DCD"/>
    <w:rsid w:val="00942233"/>
    <w:rsid w:val="00942BE2"/>
    <w:rsid w:val="00946AC7"/>
    <w:rsid w:val="00952060"/>
    <w:rsid w:val="00954C85"/>
    <w:rsid w:val="00986D8C"/>
    <w:rsid w:val="00990545"/>
    <w:rsid w:val="00996032"/>
    <w:rsid w:val="009B3255"/>
    <w:rsid w:val="009B533E"/>
    <w:rsid w:val="009C2A89"/>
    <w:rsid w:val="009C36AE"/>
    <w:rsid w:val="009D15B4"/>
    <w:rsid w:val="009D6EDF"/>
    <w:rsid w:val="009E0AE9"/>
    <w:rsid w:val="009E191C"/>
    <w:rsid w:val="009F1E9C"/>
    <w:rsid w:val="00A02453"/>
    <w:rsid w:val="00A1536A"/>
    <w:rsid w:val="00A20150"/>
    <w:rsid w:val="00A24B51"/>
    <w:rsid w:val="00A35D30"/>
    <w:rsid w:val="00A43066"/>
    <w:rsid w:val="00A4673A"/>
    <w:rsid w:val="00A46A93"/>
    <w:rsid w:val="00A46CBC"/>
    <w:rsid w:val="00A67494"/>
    <w:rsid w:val="00A826DB"/>
    <w:rsid w:val="00A83D49"/>
    <w:rsid w:val="00A91126"/>
    <w:rsid w:val="00A9137E"/>
    <w:rsid w:val="00A94882"/>
    <w:rsid w:val="00A97D70"/>
    <w:rsid w:val="00AA1864"/>
    <w:rsid w:val="00AA5698"/>
    <w:rsid w:val="00AB0865"/>
    <w:rsid w:val="00AC6D72"/>
    <w:rsid w:val="00AD6727"/>
    <w:rsid w:val="00AF2600"/>
    <w:rsid w:val="00B02550"/>
    <w:rsid w:val="00B064A5"/>
    <w:rsid w:val="00B14263"/>
    <w:rsid w:val="00B3057D"/>
    <w:rsid w:val="00B307FF"/>
    <w:rsid w:val="00B35F53"/>
    <w:rsid w:val="00B50C23"/>
    <w:rsid w:val="00B538EE"/>
    <w:rsid w:val="00B566A9"/>
    <w:rsid w:val="00B73033"/>
    <w:rsid w:val="00B7346B"/>
    <w:rsid w:val="00B80A76"/>
    <w:rsid w:val="00B826D1"/>
    <w:rsid w:val="00B8603D"/>
    <w:rsid w:val="00B86107"/>
    <w:rsid w:val="00B90BCE"/>
    <w:rsid w:val="00B9375A"/>
    <w:rsid w:val="00B94FE6"/>
    <w:rsid w:val="00BA09C8"/>
    <w:rsid w:val="00BC0CD5"/>
    <w:rsid w:val="00BC4C18"/>
    <w:rsid w:val="00BC736D"/>
    <w:rsid w:val="00BE4C09"/>
    <w:rsid w:val="00BF11F1"/>
    <w:rsid w:val="00BF5D36"/>
    <w:rsid w:val="00C20C10"/>
    <w:rsid w:val="00C20EF8"/>
    <w:rsid w:val="00C216DA"/>
    <w:rsid w:val="00C25AAB"/>
    <w:rsid w:val="00C3028F"/>
    <w:rsid w:val="00C4219C"/>
    <w:rsid w:val="00C60F08"/>
    <w:rsid w:val="00C62C74"/>
    <w:rsid w:val="00CA7C9C"/>
    <w:rsid w:val="00CF58C6"/>
    <w:rsid w:val="00CF6958"/>
    <w:rsid w:val="00D0754A"/>
    <w:rsid w:val="00D32F33"/>
    <w:rsid w:val="00D4064F"/>
    <w:rsid w:val="00D41248"/>
    <w:rsid w:val="00D501E8"/>
    <w:rsid w:val="00D542CC"/>
    <w:rsid w:val="00D578D2"/>
    <w:rsid w:val="00D61A9F"/>
    <w:rsid w:val="00D72CF9"/>
    <w:rsid w:val="00D77A79"/>
    <w:rsid w:val="00D93DAC"/>
    <w:rsid w:val="00DA6D5A"/>
    <w:rsid w:val="00DB6CA9"/>
    <w:rsid w:val="00DC797D"/>
    <w:rsid w:val="00DE4422"/>
    <w:rsid w:val="00DE6BDF"/>
    <w:rsid w:val="00E3506A"/>
    <w:rsid w:val="00E36018"/>
    <w:rsid w:val="00E373AC"/>
    <w:rsid w:val="00E45E4D"/>
    <w:rsid w:val="00E51D89"/>
    <w:rsid w:val="00E554DB"/>
    <w:rsid w:val="00E575D8"/>
    <w:rsid w:val="00E611F1"/>
    <w:rsid w:val="00E66D7C"/>
    <w:rsid w:val="00E81536"/>
    <w:rsid w:val="00E95B75"/>
    <w:rsid w:val="00EA1494"/>
    <w:rsid w:val="00EB5F04"/>
    <w:rsid w:val="00EB6204"/>
    <w:rsid w:val="00EB7319"/>
    <w:rsid w:val="00EC58AF"/>
    <w:rsid w:val="00EC6C2A"/>
    <w:rsid w:val="00ED7918"/>
    <w:rsid w:val="00EE1BDB"/>
    <w:rsid w:val="00F009C4"/>
    <w:rsid w:val="00F17D11"/>
    <w:rsid w:val="00F2282D"/>
    <w:rsid w:val="00F22EF8"/>
    <w:rsid w:val="00F275BB"/>
    <w:rsid w:val="00F3416F"/>
    <w:rsid w:val="00F35305"/>
    <w:rsid w:val="00F40070"/>
    <w:rsid w:val="00F4685A"/>
    <w:rsid w:val="00F52D01"/>
    <w:rsid w:val="00F54672"/>
    <w:rsid w:val="00F673AC"/>
    <w:rsid w:val="00F76DE9"/>
    <w:rsid w:val="00FA0DAA"/>
    <w:rsid w:val="00FB3827"/>
    <w:rsid w:val="00FC1CFC"/>
    <w:rsid w:val="00FC1DFB"/>
    <w:rsid w:val="00FE5462"/>
    <w:rsid w:val="00FF1CAA"/>
    <w:rsid w:val="00FF2AC4"/>
    <w:rsid w:val="01361ADD"/>
    <w:rsid w:val="12190897"/>
    <w:rsid w:val="12A92ED2"/>
    <w:rsid w:val="167512AA"/>
    <w:rsid w:val="25AA20B9"/>
    <w:rsid w:val="2DC223F7"/>
    <w:rsid w:val="3E962A34"/>
    <w:rsid w:val="3FFE65EB"/>
    <w:rsid w:val="467A25EF"/>
    <w:rsid w:val="4BED22AB"/>
    <w:rsid w:val="4FCF20EB"/>
    <w:rsid w:val="5AF94506"/>
    <w:rsid w:val="60226A0D"/>
    <w:rsid w:val="6196358D"/>
    <w:rsid w:val="6E7C2294"/>
    <w:rsid w:val="734B482A"/>
    <w:rsid w:val="7428084D"/>
    <w:rsid w:val="7E053845"/>
    <w:rsid w:val="7F1937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7"/>
    <w:unhideWhenUsed/>
    <w:qFormat/>
    <w:uiPriority w:val="99"/>
  </w:style>
  <w:style w:type="paragraph" w:styleId="3">
    <w:name w:val="Body Text Indent"/>
    <w:basedOn w:val="1"/>
    <w:semiHidden/>
    <w:unhideWhenUsed/>
    <w:qFormat/>
    <w:uiPriority w:val="99"/>
    <w:pPr>
      <w:spacing w:after="120"/>
      <w:ind w:left="420" w:leftChars="200"/>
    </w:pPr>
  </w:style>
  <w:style w:type="paragraph" w:styleId="4">
    <w:name w:val="footer"/>
    <w:basedOn w:val="1"/>
    <w:link w:val="13"/>
    <w:qFormat/>
    <w:uiPriority w:val="99"/>
    <w:pPr>
      <w:tabs>
        <w:tab w:val="center" w:pos="4153"/>
        <w:tab w:val="right" w:pos="8306"/>
      </w:tabs>
      <w:snapToGrid w:val="0"/>
      <w:spacing w:after="0" w:line="240" w:lineRule="auto"/>
    </w:pPr>
    <w:rPr>
      <w:rFonts w:ascii="Calibri" w:hAnsi="Calibri" w:eastAsia="宋体" w:cs="Times New Roman"/>
      <w:sz w:val="18"/>
      <w:szCs w:val="18"/>
      <w14:ligatures w14:val="none"/>
    </w:rPr>
  </w:style>
  <w:style w:type="paragraph" w:styleId="5">
    <w:name w:val="header"/>
    <w:basedOn w:val="1"/>
    <w:link w:val="15"/>
    <w:unhideWhenUsed/>
    <w:qFormat/>
    <w:uiPriority w:val="99"/>
    <w:pPr>
      <w:tabs>
        <w:tab w:val="center" w:pos="4153"/>
        <w:tab w:val="right" w:pos="8306"/>
      </w:tabs>
      <w:snapToGrid w:val="0"/>
      <w:spacing w:line="240" w:lineRule="auto"/>
      <w:jc w:val="center"/>
    </w:pPr>
    <w:rPr>
      <w:sz w:val="18"/>
      <w:szCs w:val="18"/>
    </w:rPr>
  </w:style>
  <w:style w:type="paragraph" w:styleId="6">
    <w:name w:val="annotation subject"/>
    <w:basedOn w:val="2"/>
    <w:next w:val="2"/>
    <w:link w:val="18"/>
    <w:semiHidden/>
    <w:unhideWhenUsed/>
    <w:qFormat/>
    <w:uiPriority w:val="99"/>
    <w:rPr>
      <w:b/>
      <w:bCs/>
    </w:rPr>
  </w:style>
  <w:style w:type="paragraph" w:styleId="7">
    <w:name w:val="Body Text First Indent 2"/>
    <w:basedOn w:val="3"/>
    <w:unhideWhenUsed/>
    <w:qFormat/>
    <w:uiPriority w:val="0"/>
    <w:pPr>
      <w:ind w:firstLine="420" w:firstLineChars="200"/>
    </w:pPr>
    <w:rPr>
      <w:rFonts w:ascii="Times New Roman" w:hAnsi="Times New Roman" w:eastAsia="宋体" w:cs="Times New Roman"/>
      <w:szCs w:val="20"/>
    </w:rPr>
  </w:style>
  <w:style w:type="character" w:styleId="10">
    <w:name w:val="Hyperlink"/>
    <w:basedOn w:val="9"/>
    <w:unhideWhenUsed/>
    <w:qFormat/>
    <w:uiPriority w:val="99"/>
    <w:rPr>
      <w:color w:val="0563C1" w:themeColor="hyperlink"/>
      <w:u w:val="single"/>
      <w14:textFill>
        <w14:solidFill>
          <w14:schemeClr w14:val="hlink"/>
        </w14:solidFill>
      </w14:textFill>
    </w:rPr>
  </w:style>
  <w:style w:type="character" w:styleId="11">
    <w:name w:val="annotation reference"/>
    <w:basedOn w:val="9"/>
    <w:semiHidden/>
    <w:unhideWhenUsed/>
    <w:qFormat/>
    <w:uiPriority w:val="99"/>
    <w:rPr>
      <w:sz w:val="21"/>
      <w:szCs w:val="21"/>
    </w:rPr>
  </w:style>
  <w:style w:type="paragraph" w:styleId="12">
    <w:name w:val="List Paragraph"/>
    <w:basedOn w:val="1"/>
    <w:qFormat/>
    <w:uiPriority w:val="34"/>
    <w:pPr>
      <w:ind w:firstLine="420" w:firstLineChars="200"/>
    </w:pPr>
  </w:style>
  <w:style w:type="character" w:customStyle="1" w:styleId="13">
    <w:name w:val="页脚 字符"/>
    <w:basedOn w:val="9"/>
    <w:link w:val="4"/>
    <w:qFormat/>
    <w:uiPriority w:val="99"/>
    <w:rPr>
      <w:rFonts w:ascii="Calibri" w:hAnsi="Calibri" w:eastAsia="宋体" w:cs="Times New Roman"/>
      <w:sz w:val="18"/>
      <w:szCs w:val="18"/>
      <w14:ligatures w14:val="none"/>
    </w:rPr>
  </w:style>
  <w:style w:type="table" w:customStyle="1" w:styleId="14">
    <w:name w:val="网格型1"/>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5">
    <w:name w:val="页眉 字符"/>
    <w:basedOn w:val="9"/>
    <w:link w:val="5"/>
    <w:qFormat/>
    <w:uiPriority w:val="99"/>
    <w:rPr>
      <w:sz w:val="18"/>
      <w:szCs w:val="18"/>
    </w:rPr>
  </w:style>
  <w:style w:type="paragraph" w:customStyle="1" w:styleId="16">
    <w:name w:val="修订1"/>
    <w:hidden/>
    <w:unhideWhenUsed/>
    <w:qFormat/>
    <w:uiPriority w:val="99"/>
    <w:rPr>
      <w:rFonts w:asciiTheme="minorHAnsi" w:hAnsiTheme="minorHAnsi" w:eastAsiaTheme="minorEastAsia" w:cstheme="minorBidi"/>
      <w:kern w:val="2"/>
      <w:sz w:val="22"/>
      <w:szCs w:val="24"/>
      <w:lang w:val="en-US" w:eastAsia="zh-CN" w:bidi="ar-SA"/>
      <w14:ligatures w14:val="standardContextual"/>
    </w:rPr>
  </w:style>
  <w:style w:type="character" w:customStyle="1" w:styleId="17">
    <w:name w:val="批注文字 字符"/>
    <w:basedOn w:val="9"/>
    <w:link w:val="2"/>
    <w:qFormat/>
    <w:uiPriority w:val="99"/>
    <w:rPr>
      <w:kern w:val="2"/>
      <w:sz w:val="22"/>
      <w:szCs w:val="24"/>
      <w14:ligatures w14:val="standardContextual"/>
    </w:rPr>
  </w:style>
  <w:style w:type="character" w:customStyle="1" w:styleId="18">
    <w:name w:val="批注主题 字符"/>
    <w:basedOn w:val="17"/>
    <w:link w:val="6"/>
    <w:semiHidden/>
    <w:qFormat/>
    <w:uiPriority w:val="99"/>
    <w:rPr>
      <w:b/>
      <w:bCs/>
      <w:kern w:val="2"/>
      <w:sz w:val="22"/>
      <w:szCs w:val="24"/>
      <w14:ligatures w14:val="standardContextual"/>
    </w:rPr>
  </w:style>
  <w:style w:type="character" w:customStyle="1" w:styleId="19">
    <w:name w:val="font21"/>
    <w:basedOn w:val="9"/>
    <w:qFormat/>
    <w:uiPriority w:val="0"/>
    <w:rPr>
      <w:rFonts w:hint="eastAsia" w:ascii="宋体" w:hAnsi="宋体" w:eastAsia="宋体" w:cs="宋体"/>
      <w:b/>
      <w:bCs/>
      <w:color w:val="000000"/>
      <w:sz w:val="21"/>
      <w:szCs w:val="21"/>
      <w:u w:val="none"/>
    </w:rPr>
  </w:style>
  <w:style w:type="character" w:customStyle="1" w:styleId="20">
    <w:name w:val="font41"/>
    <w:basedOn w:val="9"/>
    <w:qFormat/>
    <w:uiPriority w:val="0"/>
    <w:rPr>
      <w:rFonts w:hint="eastAsia" w:ascii="宋体" w:hAnsi="宋体" w:eastAsia="宋体" w:cs="宋体"/>
      <w:color w:val="000000"/>
      <w:sz w:val="21"/>
      <w:szCs w:val="21"/>
      <w:u w:val="none"/>
    </w:rPr>
  </w:style>
  <w:style w:type="paragraph" w:customStyle="1" w:styleId="21">
    <w:name w:val="Revision"/>
    <w:hidden/>
    <w:unhideWhenUsed/>
    <w:qFormat/>
    <w:uiPriority w:val="99"/>
    <w:rPr>
      <w:rFonts w:asciiTheme="minorHAnsi" w:hAnsiTheme="minorHAnsi" w:eastAsiaTheme="minorEastAsia" w:cstheme="minorBidi"/>
      <w:kern w:val="2"/>
      <w:sz w:val="22"/>
      <w:szCs w:val="24"/>
      <w:lang w:val="en-US" w:eastAsia="zh-CN" w:bidi="ar-SA"/>
      <w14:ligatures w14:val="standardContextual"/>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B6E6155-9018-4D16-A539-1D9421AF6764}">
  <ds:schemaRefs/>
</ds:datastoreItem>
</file>

<file path=docProps/app.xml><?xml version="1.0" encoding="utf-8"?>
<Properties xmlns="http://schemas.openxmlformats.org/officeDocument/2006/extended-properties" xmlns:vt="http://schemas.openxmlformats.org/officeDocument/2006/docPropsVTypes">
  <Template>Normal</Template>
  <Pages>46</Pages>
  <Words>14885</Words>
  <Characters>15259</Characters>
  <Lines>936</Lines>
  <Paragraphs>803</Paragraphs>
  <TotalTime>96</TotalTime>
  <ScaleCrop>false</ScaleCrop>
  <LinksUpToDate>false</LinksUpToDate>
  <CharactersWithSpaces>15513</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2026-07-14T01:32:00Z</dcterms:created>
  <dc:creator>Apache POI</dc:creator>
  <cp:lastModifiedBy>L</cp:lastModifiedBy>
  <dcterms:modified xsi:type="dcterms:W3CDTF">2026-07-20T02:24:50Z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eyJoZGlkIjoiNmUwNDQ0OWY1Njk1ZGYwYjI5Mjc0MjA1N2QxNGViOGMiLCJ1c2VySWQiOiIxMjQwMzUzODczIn0=</vt:lpwstr>
  </property>
  <property fmtid="{D5CDD505-2E9C-101B-9397-08002B2CF9AE}" pid="3" name="KSOProductBuildVer">
    <vt:lpwstr>2052-12.1.0.26884</vt:lpwstr>
  </property>
  <property fmtid="{D5CDD505-2E9C-101B-9397-08002B2CF9AE}" pid="4" name="ICV">
    <vt:lpwstr>D8E0910F07C34A469BA7C6CC77E24F63_13</vt:lpwstr>
  </property>
</Properties>
</file>